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E29" w:rsidRDefault="00D83979" w:rsidP="00D83979">
      <w:pPr>
        <w:spacing w:after="0" w:line="276" w:lineRule="auto"/>
        <w:jc w:val="center"/>
        <w:rPr>
          <w:rFonts w:ascii="Open Sans" w:eastAsia="Open Sans" w:hAnsi="Open Sans" w:cs="Open Sans"/>
        </w:rPr>
      </w:pPr>
      <w:r>
        <w:rPr>
          <w:rFonts w:ascii="Open Sans" w:eastAsia="Open Sans" w:hAnsi="Open Sans" w:cs="Open Sans"/>
        </w:rPr>
        <w:t>ANEXO I</w:t>
      </w:r>
    </w:p>
    <w:p w:rsidR="00D83979" w:rsidRDefault="00D83979" w:rsidP="00D83979">
      <w:pPr>
        <w:spacing w:after="0" w:line="276" w:lineRule="auto"/>
        <w:jc w:val="center"/>
        <w:rPr>
          <w:rFonts w:ascii="Open Sans" w:eastAsia="Open Sans" w:hAnsi="Open Sans" w:cs="Open Sans"/>
        </w:rPr>
      </w:pPr>
      <w:bookmarkStart w:id="0" w:name="_GoBack"/>
      <w:bookmarkEnd w:id="0"/>
    </w:p>
    <w:tbl>
      <w:tblPr>
        <w:tblStyle w:val="affc"/>
        <w:tblW w:w="9045" w:type="dxa"/>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D14E29">
        <w:tc>
          <w:tcPr>
            <w:tcW w:w="9045" w:type="dxa"/>
            <w:shd w:val="clear" w:color="auto" w:fill="auto"/>
            <w:tcMar>
              <w:top w:w="100" w:type="dxa"/>
              <w:left w:w="100" w:type="dxa"/>
              <w:bottom w:w="100" w:type="dxa"/>
              <w:right w:w="100" w:type="dxa"/>
            </w:tcMar>
          </w:tcPr>
          <w:sdt>
            <w:sdtPr>
              <w:tag w:val="goog_rdk_0"/>
              <w:id w:val="-438364788"/>
              <w:lock w:val="contentLocked"/>
            </w:sdtPr>
            <w:sdtEndPr/>
            <w:sdtContent>
              <w:p w:rsidR="00D14E29" w:rsidRDefault="00D83979">
                <w:pPr>
                  <w:spacing w:after="0" w:line="276" w:lineRule="auto"/>
                  <w:jc w:val="both"/>
                  <w:rPr>
                    <w:rFonts w:ascii="Open Sans" w:eastAsia="Open Sans" w:hAnsi="Open Sans" w:cs="Open Sans"/>
                  </w:rPr>
                </w:pPr>
                <w:r>
                  <w:rPr>
                    <w:rFonts w:ascii="Open Sans" w:eastAsia="Open Sans" w:hAnsi="Open Sans" w:cs="Open Sans"/>
                  </w:rPr>
                  <w:t>Projeto Lugares de Ler: Formação de Núcleos de Leitura no Espírito Santo</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Ciclo 2 | 2025-2026</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Política Nacional Aldir Blanc de Fomento à Cultura</w:t>
                </w:r>
              </w:p>
            </w:sdtContent>
          </w:sdt>
        </w:tc>
      </w:tr>
    </w:tbl>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b/>
        </w:rPr>
      </w:pPr>
      <w:r>
        <w:rPr>
          <w:rFonts w:ascii="Open Sans" w:eastAsia="Open Sans" w:hAnsi="Open Sans" w:cs="Open Sans"/>
          <w:b/>
        </w:rPr>
        <w:t xml:space="preserve">Nota Técnica para Chamamento Público </w:t>
      </w:r>
    </w:p>
    <w:p w:rsidR="00D14E29" w:rsidRDefault="00D14E29">
      <w:pPr>
        <w:pBdr>
          <w:top w:val="nil"/>
          <w:left w:val="nil"/>
          <w:bottom w:val="nil"/>
          <w:right w:val="nil"/>
          <w:between w:val="nil"/>
        </w:pBdr>
        <w:spacing w:after="0" w:line="276" w:lineRule="auto"/>
        <w:jc w:val="both"/>
        <w:rPr>
          <w:rFonts w:ascii="Open Sans" w:eastAsia="Open Sans" w:hAnsi="Open Sans" w:cs="Open Sans"/>
        </w:rPr>
      </w:pPr>
    </w:p>
    <w:p w:rsidR="00D14E29" w:rsidRDefault="00D83979">
      <w:pPr>
        <w:pBdr>
          <w:top w:val="nil"/>
          <w:left w:val="nil"/>
          <w:bottom w:val="nil"/>
          <w:right w:val="nil"/>
          <w:between w:val="nil"/>
        </w:pBdr>
        <w:spacing w:after="0" w:line="276" w:lineRule="auto"/>
        <w:jc w:val="both"/>
        <w:rPr>
          <w:rFonts w:ascii="Open Sans" w:eastAsia="Open Sans" w:hAnsi="Open Sans" w:cs="Open Sans"/>
        </w:rPr>
      </w:pPr>
      <w:r>
        <w:rPr>
          <w:rFonts w:ascii="Open Sans" w:eastAsia="Open Sans" w:hAnsi="Open Sans" w:cs="Open Sans"/>
        </w:rPr>
        <w:t xml:space="preserve">Constitui-se objeto da presente proposta a SELEÇÃO DE ORGANIZAÇÃO DA SOCIEDADE CIVIL (OSC) para a realização do segundo ciclo do projeto Lugares de Ler: Formação de Núcleos de Leitura no Espírito Santo, que envolve a criação e o desenvolvimento de núcleos </w:t>
      </w:r>
      <w:r>
        <w:rPr>
          <w:rFonts w:ascii="Open Sans" w:eastAsia="Open Sans" w:hAnsi="Open Sans" w:cs="Open Sans"/>
        </w:rPr>
        <w:t xml:space="preserve">mediados em espaços de leitura, tais como bibliotecas municipais, bibliotecas comunitárias e pontos de leitura, conforme Plano de Aplicação da Política Nacional Aldir Blanc de Fomento à Cultura (PAAR-PNAB). </w:t>
      </w:r>
    </w:p>
    <w:p w:rsidR="00D14E29" w:rsidRDefault="00D14E29">
      <w:pPr>
        <w:pBdr>
          <w:top w:val="nil"/>
          <w:left w:val="nil"/>
          <w:bottom w:val="nil"/>
          <w:right w:val="nil"/>
          <w:between w:val="nil"/>
        </w:pBdr>
        <w:spacing w:after="0" w:line="276" w:lineRule="auto"/>
        <w:jc w:val="both"/>
        <w:rPr>
          <w:rFonts w:ascii="Open Sans" w:eastAsia="Open Sans" w:hAnsi="Open Sans" w:cs="Open Sans"/>
        </w:rPr>
      </w:pPr>
    </w:p>
    <w:p w:rsidR="00D14E29" w:rsidRDefault="00D83979">
      <w:pPr>
        <w:pBdr>
          <w:top w:val="nil"/>
          <w:left w:val="nil"/>
          <w:bottom w:val="nil"/>
          <w:right w:val="nil"/>
          <w:between w:val="nil"/>
        </w:pBdr>
        <w:spacing w:after="0" w:line="276" w:lineRule="auto"/>
        <w:jc w:val="both"/>
        <w:rPr>
          <w:rFonts w:ascii="Open Sans" w:eastAsia="Open Sans" w:hAnsi="Open Sans" w:cs="Open Sans"/>
        </w:rPr>
      </w:pPr>
      <w:r>
        <w:rPr>
          <w:rFonts w:ascii="Open Sans" w:eastAsia="Open Sans" w:hAnsi="Open Sans" w:cs="Open Sans"/>
        </w:rPr>
        <w:t>Este chamamento público contemplará 1 (uma) pro</w:t>
      </w:r>
      <w:r>
        <w:rPr>
          <w:rFonts w:ascii="Open Sans" w:eastAsia="Open Sans" w:hAnsi="Open Sans" w:cs="Open Sans"/>
        </w:rPr>
        <w:t>posta de entidade para a execução completa do programa Lugares de Ler: Formação de Núcleos de Leitura no Espírito Santo Ciclo 2025-2026.</w:t>
      </w:r>
    </w:p>
    <w:p w:rsidR="00D14E29" w:rsidRDefault="00D14E29">
      <w:pPr>
        <w:pBdr>
          <w:top w:val="nil"/>
          <w:left w:val="nil"/>
          <w:bottom w:val="nil"/>
          <w:right w:val="nil"/>
          <w:between w:val="nil"/>
        </w:pBdr>
        <w:spacing w:after="0" w:line="276" w:lineRule="auto"/>
        <w:jc w:val="both"/>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O apoio estadual à realização do projeto Lugares de Ler deverá ser formalizado por meio de TERMO DE COLABORAÇÃO, conforme disposições contidas nos termos da Lei no 13.019/2014 e demais normas legais aplicáveis ao caso, cabendo ao Secretário de Estado da Cu</w:t>
      </w:r>
      <w:r>
        <w:rPr>
          <w:rFonts w:ascii="Open Sans" w:eastAsia="Open Sans" w:hAnsi="Open Sans" w:cs="Open Sans"/>
        </w:rPr>
        <w:t>ltura a escolha do apoio, de acordo com o interesse público, conveniência e oportunidade, mediante as possibilidades orçamentárias e financeiras da Secult.</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1. HISTÓRICO E CONTEXTO</w:t>
      </w:r>
    </w:p>
    <w:p w:rsidR="00D14E29" w:rsidRDefault="00D14E29">
      <w:pPr>
        <w:shd w:val="clear" w:color="auto" w:fill="FFFFFF"/>
        <w:spacing w:after="0" w:line="276" w:lineRule="auto"/>
        <w:jc w:val="both"/>
        <w:rPr>
          <w:rFonts w:ascii="Open Sans" w:eastAsia="Open Sans" w:hAnsi="Open Sans" w:cs="Open Sans"/>
        </w:rPr>
      </w:pPr>
    </w:p>
    <w:p w:rsidR="00D14E29" w:rsidRDefault="00D83979">
      <w:pPr>
        <w:shd w:val="clear" w:color="auto" w:fill="FFFFFF"/>
        <w:spacing w:after="0" w:line="276" w:lineRule="auto"/>
        <w:jc w:val="both"/>
        <w:rPr>
          <w:rFonts w:ascii="Open Sans" w:eastAsia="Open Sans" w:hAnsi="Open Sans" w:cs="Open Sans"/>
        </w:rPr>
      </w:pPr>
      <w:r>
        <w:rPr>
          <w:rFonts w:ascii="Open Sans" w:eastAsia="Open Sans" w:hAnsi="Open Sans" w:cs="Open Sans"/>
        </w:rPr>
        <w:t>Ações e projetos de incentivo à leitura são um excelente aliado das biblio</w:t>
      </w:r>
      <w:r>
        <w:rPr>
          <w:rFonts w:ascii="Open Sans" w:eastAsia="Open Sans" w:hAnsi="Open Sans" w:cs="Open Sans"/>
        </w:rPr>
        <w:t xml:space="preserve">tecas e de outros </w:t>
      </w:r>
      <w:proofErr w:type="gramStart"/>
      <w:r>
        <w:rPr>
          <w:rFonts w:ascii="Open Sans" w:eastAsia="Open Sans" w:hAnsi="Open Sans" w:cs="Open Sans"/>
        </w:rPr>
        <w:t>espaços</w:t>
      </w:r>
      <w:proofErr w:type="gramEnd"/>
      <w:r>
        <w:rPr>
          <w:rFonts w:ascii="Open Sans" w:eastAsia="Open Sans" w:hAnsi="Open Sans" w:cs="Open Sans"/>
        </w:rPr>
        <w:t xml:space="preserve"> de fruição literária. Neste contexto, a mediação cultural é um processo que torna o livro mais acessível e seu uso, mais democrático. Mediar transforma, porque contribui para a construção de diálogos de qualidade, práticas de cida</w:t>
      </w:r>
      <w:r>
        <w:rPr>
          <w:rFonts w:ascii="Open Sans" w:eastAsia="Open Sans" w:hAnsi="Open Sans" w:cs="Open Sans"/>
        </w:rPr>
        <w:t xml:space="preserve">dania e relações de pertencimento. </w:t>
      </w:r>
    </w:p>
    <w:p w:rsidR="00D14E29" w:rsidRDefault="00D14E29">
      <w:pPr>
        <w:shd w:val="clear" w:color="auto" w:fill="FFFFFF"/>
        <w:spacing w:after="0" w:line="276" w:lineRule="auto"/>
        <w:jc w:val="both"/>
        <w:rPr>
          <w:rFonts w:ascii="Open Sans" w:eastAsia="Open Sans" w:hAnsi="Open Sans" w:cs="Open Sans"/>
        </w:rPr>
      </w:pPr>
    </w:p>
    <w:p w:rsidR="00D14E29" w:rsidRDefault="00D83979">
      <w:pPr>
        <w:shd w:val="clear" w:color="auto" w:fill="FFFFFF"/>
        <w:spacing w:after="0" w:line="276" w:lineRule="auto"/>
        <w:jc w:val="both"/>
        <w:rPr>
          <w:rFonts w:ascii="Open Sans" w:eastAsia="Open Sans" w:hAnsi="Open Sans" w:cs="Open Sans"/>
        </w:rPr>
      </w:pPr>
      <w:r>
        <w:rPr>
          <w:rFonts w:ascii="Open Sans" w:eastAsia="Open Sans" w:hAnsi="Open Sans" w:cs="Open Sans"/>
        </w:rPr>
        <w:t>No primeiro ciclo de execução do projeto “Lugares de Ler”, iniciado em julho de 2024 e atualmente em andamento, até abril de 2025, estão sendo realizadas diversas ações de formação de núcleos de leitura em territórios p</w:t>
      </w:r>
      <w:r>
        <w:rPr>
          <w:rFonts w:ascii="Open Sans" w:eastAsia="Open Sans" w:hAnsi="Open Sans" w:cs="Open Sans"/>
        </w:rPr>
        <w:t xml:space="preserve">eriféricos do Espírito Santo. </w:t>
      </w:r>
    </w:p>
    <w:p w:rsidR="00D14E29" w:rsidRDefault="00D14E29">
      <w:pPr>
        <w:shd w:val="clear" w:color="auto" w:fill="FFFFFF"/>
        <w:spacing w:after="0" w:line="276" w:lineRule="auto"/>
        <w:jc w:val="both"/>
        <w:rPr>
          <w:rFonts w:ascii="Open Sans" w:eastAsia="Open Sans" w:hAnsi="Open Sans" w:cs="Open Sans"/>
        </w:rPr>
      </w:pPr>
    </w:p>
    <w:p w:rsidR="00D14E29" w:rsidRDefault="00D83979">
      <w:pPr>
        <w:shd w:val="clear" w:color="auto" w:fill="FFFFFF"/>
        <w:spacing w:after="0" w:line="276" w:lineRule="auto"/>
        <w:jc w:val="both"/>
        <w:rPr>
          <w:rFonts w:ascii="Open Sans" w:eastAsia="Open Sans" w:hAnsi="Open Sans" w:cs="Open Sans"/>
        </w:rPr>
      </w:pPr>
      <w:r>
        <w:rPr>
          <w:rFonts w:ascii="Open Sans" w:eastAsia="Open Sans" w:hAnsi="Open Sans" w:cs="Open Sans"/>
        </w:rPr>
        <w:lastRenderedPageBreak/>
        <w:t xml:space="preserve">Após um mês de pré-produção - dedicado à formação inicial dos agentes de leitura e diagnóstico nos territórios a serem atendidos - e cinco meses de atividades regulares nos territórios, o projeto realizou 189 ações. Destas, </w:t>
      </w:r>
      <w:r>
        <w:rPr>
          <w:rFonts w:ascii="Open Sans" w:eastAsia="Open Sans" w:hAnsi="Open Sans" w:cs="Open Sans"/>
        </w:rPr>
        <w:t>180 foram atividades extensivas de mediação literária, como clubes de leitura e encontros rotineiros, e 9 atividades de culminância - eventos de caráter formativo, como palestras e bate-papos com autores.</w:t>
      </w:r>
    </w:p>
    <w:p w:rsidR="00D14E29" w:rsidRDefault="00D14E29">
      <w:pPr>
        <w:shd w:val="clear" w:color="auto" w:fill="FFFFFF"/>
        <w:spacing w:after="0" w:line="276" w:lineRule="auto"/>
        <w:jc w:val="both"/>
        <w:rPr>
          <w:rFonts w:ascii="Open Sans" w:eastAsia="Open Sans" w:hAnsi="Open Sans" w:cs="Open Sans"/>
        </w:rPr>
      </w:pPr>
    </w:p>
    <w:p w:rsidR="00D14E29" w:rsidRDefault="00D83979">
      <w:pPr>
        <w:shd w:val="clear" w:color="auto" w:fill="FFFFFF"/>
        <w:spacing w:after="0" w:line="276" w:lineRule="auto"/>
        <w:jc w:val="both"/>
        <w:rPr>
          <w:rFonts w:ascii="Open Sans" w:eastAsia="Open Sans" w:hAnsi="Open Sans" w:cs="Open Sans"/>
        </w:rPr>
      </w:pPr>
      <w:r>
        <w:rPr>
          <w:rFonts w:ascii="Open Sans" w:eastAsia="Open Sans" w:hAnsi="Open Sans" w:cs="Open Sans"/>
        </w:rPr>
        <w:t xml:space="preserve">Além disso, foram promovidas formações abertas ao </w:t>
      </w:r>
      <w:r>
        <w:rPr>
          <w:rFonts w:ascii="Open Sans" w:eastAsia="Open Sans" w:hAnsi="Open Sans" w:cs="Open Sans"/>
        </w:rPr>
        <w:t xml:space="preserve">público, com personalidades importantes do cenário cultural e literário, e encontros fechados para os agentes de leitura, com foco em curadoria e mediação literária. </w:t>
      </w:r>
    </w:p>
    <w:p w:rsidR="00D14E29" w:rsidRDefault="00D14E29">
      <w:pPr>
        <w:shd w:val="clear" w:color="auto" w:fill="FFFFFF"/>
        <w:spacing w:after="0" w:line="276" w:lineRule="auto"/>
        <w:jc w:val="both"/>
        <w:rPr>
          <w:rFonts w:ascii="Open Sans" w:eastAsia="Open Sans" w:hAnsi="Open Sans" w:cs="Open Sans"/>
        </w:rPr>
      </w:pPr>
    </w:p>
    <w:p w:rsidR="00D14E29" w:rsidRDefault="00D83979">
      <w:pPr>
        <w:shd w:val="clear" w:color="auto" w:fill="FFFFFF"/>
        <w:spacing w:after="0" w:line="276" w:lineRule="auto"/>
        <w:jc w:val="both"/>
        <w:rPr>
          <w:rFonts w:ascii="Open Sans" w:eastAsia="Open Sans" w:hAnsi="Open Sans" w:cs="Open Sans"/>
        </w:rPr>
      </w:pPr>
      <w:r>
        <w:rPr>
          <w:rFonts w:ascii="Open Sans" w:eastAsia="Open Sans" w:hAnsi="Open Sans" w:cs="Open Sans"/>
        </w:rPr>
        <w:t>O projeto também contabilizou, até agora, a aquisição de 570 livros, abrangendo 57 difer</w:t>
      </w:r>
      <w:r>
        <w:rPr>
          <w:rFonts w:ascii="Open Sans" w:eastAsia="Open Sans" w:hAnsi="Open Sans" w:cs="Open Sans"/>
        </w:rPr>
        <w:t xml:space="preserve">entes títulos, distribuídos entre os 10 territórios participantes. </w:t>
      </w:r>
    </w:p>
    <w:p w:rsidR="00D14E29" w:rsidRDefault="00D14E29">
      <w:pPr>
        <w:shd w:val="clear" w:color="auto" w:fill="FFFFFF"/>
        <w:spacing w:after="0" w:line="276" w:lineRule="auto"/>
        <w:jc w:val="both"/>
        <w:rPr>
          <w:rFonts w:ascii="Open Sans" w:eastAsia="Open Sans" w:hAnsi="Open Sans" w:cs="Open Sans"/>
        </w:rPr>
      </w:pPr>
    </w:p>
    <w:p w:rsidR="00D14E29" w:rsidRDefault="00D83979">
      <w:pPr>
        <w:shd w:val="clear" w:color="auto" w:fill="FFFFFF"/>
        <w:spacing w:after="0" w:line="276" w:lineRule="auto"/>
        <w:jc w:val="both"/>
        <w:rPr>
          <w:rFonts w:ascii="Open Sans" w:eastAsia="Open Sans" w:hAnsi="Open Sans" w:cs="Open Sans"/>
        </w:rPr>
      </w:pPr>
      <w:r>
        <w:rPr>
          <w:rFonts w:ascii="Open Sans" w:eastAsia="Open Sans" w:hAnsi="Open Sans" w:cs="Open Sans"/>
        </w:rPr>
        <w:t>Como uma iniciativa que se propõe a formar núcleos regionais de leitura, o Lugares de Ler pretende, neste segundo ciclo, aprofundar sua contribuição na popularização do livro e da leitura</w:t>
      </w:r>
      <w:r>
        <w:rPr>
          <w:rFonts w:ascii="Open Sans" w:eastAsia="Open Sans" w:hAnsi="Open Sans" w:cs="Open Sans"/>
        </w:rPr>
        <w:t xml:space="preserve"> a partir da formação de mediadores e de núcleos de leitura, bem como na ampliação do acesso à informação e ao conhecimento, no desenvolvimento socioeconômico e na melhoria da qualidade de vida das pessoas envolvidas.</w:t>
      </w:r>
    </w:p>
    <w:p w:rsidR="00D14E29" w:rsidRDefault="00D14E29">
      <w:pPr>
        <w:shd w:val="clear" w:color="auto" w:fill="FFFFFF"/>
        <w:spacing w:after="0" w:line="276" w:lineRule="auto"/>
        <w:jc w:val="both"/>
        <w:rPr>
          <w:rFonts w:ascii="Open Sans" w:eastAsia="Open Sans" w:hAnsi="Open Sans" w:cs="Open Sans"/>
        </w:rPr>
      </w:pPr>
    </w:p>
    <w:p w:rsidR="00D14E29" w:rsidRDefault="00D83979">
      <w:pPr>
        <w:shd w:val="clear" w:color="auto" w:fill="FFFFFF"/>
        <w:spacing w:after="0" w:line="276" w:lineRule="auto"/>
        <w:jc w:val="both"/>
        <w:rPr>
          <w:rFonts w:ascii="Open Sans" w:eastAsia="Open Sans" w:hAnsi="Open Sans" w:cs="Open Sans"/>
        </w:rPr>
      </w:pPr>
      <w:r>
        <w:rPr>
          <w:rFonts w:ascii="Open Sans" w:eastAsia="Open Sans" w:hAnsi="Open Sans" w:cs="Open Sans"/>
        </w:rPr>
        <w:t>No primeiro ciclo, já foi possível no</w:t>
      </w:r>
      <w:r>
        <w:rPr>
          <w:rFonts w:ascii="Open Sans" w:eastAsia="Open Sans" w:hAnsi="Open Sans" w:cs="Open Sans"/>
        </w:rPr>
        <w:t xml:space="preserve">tar que as atividades realizadas não apenas promoveram o acesso à literatura, mas também ampliaram o diálogo cultural, ao incorporar formas diversas de fabulação, como declamações, </w:t>
      </w:r>
      <w:proofErr w:type="spellStart"/>
      <w:r>
        <w:rPr>
          <w:rFonts w:ascii="Open Sans" w:eastAsia="Open Sans" w:hAnsi="Open Sans" w:cs="Open Sans"/>
        </w:rPr>
        <w:t>slams</w:t>
      </w:r>
      <w:proofErr w:type="spellEnd"/>
      <w:r>
        <w:rPr>
          <w:rFonts w:ascii="Open Sans" w:eastAsia="Open Sans" w:hAnsi="Open Sans" w:cs="Open Sans"/>
        </w:rPr>
        <w:t>, história oral e narrativas visuais. Desta forma, o projeto contribui</w:t>
      </w:r>
      <w:r>
        <w:rPr>
          <w:rFonts w:ascii="Open Sans" w:eastAsia="Open Sans" w:hAnsi="Open Sans" w:cs="Open Sans"/>
        </w:rPr>
        <w:t>u significativamente para a formação de comunidades leitoras e para a construção de um ambiente cultural inclusivo, que valoriza as singularidades e os saberes locais.</w:t>
      </w:r>
    </w:p>
    <w:p w:rsidR="00D14E29" w:rsidRDefault="00D14E29">
      <w:pPr>
        <w:shd w:val="clear" w:color="auto" w:fill="FFFFFF"/>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Com a parceria estabelecida a partir deste chamamento público, esperamos implantar açõe</w:t>
      </w:r>
      <w:r>
        <w:rPr>
          <w:rFonts w:ascii="Open Sans" w:eastAsia="Open Sans" w:hAnsi="Open Sans" w:cs="Open Sans"/>
        </w:rPr>
        <w:t>s de mediação cultural em 10 (dez) territórios do Espírito Santo, ao longo de 12 meses, sendo no mínimo 5 (cinco) novos locais em comparação com a lista de territórios do ciclo anterior e 100% deles integrantes do programa Estado Presente (ANEXO Lista de T</w:t>
      </w:r>
      <w:r>
        <w:rPr>
          <w:rFonts w:ascii="Open Sans" w:eastAsia="Open Sans" w:hAnsi="Open Sans" w:cs="Open Sans"/>
        </w:rPr>
        <w:t>erritórios do Programa Estado Presente em Defesa da Vida).</w:t>
      </w:r>
    </w:p>
    <w:p w:rsidR="00D14E29" w:rsidRDefault="00D14E29">
      <w:pPr>
        <w:spacing w:after="0" w:line="276" w:lineRule="auto"/>
        <w:jc w:val="both"/>
        <w:rPr>
          <w:rFonts w:ascii="Open Sans" w:eastAsia="Open Sans" w:hAnsi="Open Sans" w:cs="Open Sans"/>
          <w:highlight w:val="yellow"/>
        </w:rPr>
      </w:pPr>
    </w:p>
    <w:p w:rsidR="00D14E29" w:rsidRDefault="00D83979">
      <w:pPr>
        <w:shd w:val="clear" w:color="auto" w:fill="FFFFFF"/>
        <w:spacing w:after="0" w:line="276" w:lineRule="auto"/>
        <w:jc w:val="both"/>
        <w:rPr>
          <w:rFonts w:ascii="Open Sans" w:eastAsia="Open Sans" w:hAnsi="Open Sans" w:cs="Open Sans"/>
        </w:rPr>
      </w:pPr>
      <w:r>
        <w:rPr>
          <w:rFonts w:ascii="Open Sans" w:eastAsia="Open Sans" w:hAnsi="Open Sans" w:cs="Open Sans"/>
        </w:rPr>
        <w:t xml:space="preserve">O objetivo é que os núcleos formados a partir do programa contribuam para momentos de fruição da leitura e para a construção de mais oportunidades para todos e todas. </w:t>
      </w:r>
    </w:p>
    <w:p w:rsidR="00D14E29" w:rsidRDefault="00D14E29">
      <w:pPr>
        <w:shd w:val="clear" w:color="auto" w:fill="FFFFFF"/>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2. ALINHAMENTO COM POLÍTICA</w:t>
      </w:r>
      <w:r>
        <w:rPr>
          <w:rFonts w:ascii="Open Sans" w:eastAsia="Open Sans" w:hAnsi="Open Sans" w:cs="Open Sans"/>
        </w:rPr>
        <w:t>S PÚBLICAS</w:t>
      </w:r>
    </w:p>
    <w:p w:rsidR="00D14E29" w:rsidRDefault="00D14E29">
      <w:pPr>
        <w:widowControl w:val="0"/>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 Secretaria de Estado da Cultura (SECULT) executa e fornece suporte a políticas públicas de desenvolvimento, fortalecimento, valorização, preservação e fruição do patrimônio cultural material e imaterial do estado em consonância com a Lei nº 11.095 (que d</w:t>
      </w:r>
      <w:r>
        <w:rPr>
          <w:rFonts w:ascii="Open Sans" w:eastAsia="Open Sans" w:hAnsi="Open Sans" w:cs="Open Sans"/>
        </w:rPr>
        <w:t>ispõe sobre o Plano Plurianual – PPA para o quadriênio 2020-2023), a Lei de Diretrizes Orçamentárias 2023 (Lei nº 11.677/2022), a Lei Orçamentária Anual 2023 (Lei nº 11.767/2023) e o Plano Estadual de Cultura do Espírito Santo (Lei nº 10.296/2014), especia</w:t>
      </w:r>
      <w:r>
        <w:rPr>
          <w:rFonts w:ascii="Open Sans" w:eastAsia="Open Sans" w:hAnsi="Open Sans" w:cs="Open Sans"/>
        </w:rPr>
        <w:t xml:space="preserve">lmente em dois capítulos. </w:t>
      </w:r>
    </w:p>
    <w:p w:rsidR="00D14E29" w:rsidRDefault="00D83979">
      <w:pPr>
        <w:numPr>
          <w:ilvl w:val="0"/>
          <w:numId w:val="3"/>
        </w:numPr>
        <w:spacing w:after="0" w:line="276" w:lineRule="auto"/>
        <w:ind w:left="0" w:firstLine="0"/>
        <w:jc w:val="both"/>
        <w:rPr>
          <w:rFonts w:ascii="Open Sans" w:eastAsia="Open Sans" w:hAnsi="Open Sans" w:cs="Open Sans"/>
        </w:rPr>
      </w:pPr>
      <w:r>
        <w:rPr>
          <w:rFonts w:ascii="Open Sans" w:eastAsia="Open Sans" w:hAnsi="Open Sans" w:cs="Open Sans"/>
        </w:rPr>
        <w:t>No Capítulo II - Das Atribuições do Poder Público, que determina, no item III, que cabe ao poder público “fomentar a cultura de forma ampla, por meio da promoção e difusão, da realização de editais e seleções públicas para o estí</w:t>
      </w:r>
      <w:r>
        <w:rPr>
          <w:rFonts w:ascii="Open Sans" w:eastAsia="Open Sans" w:hAnsi="Open Sans" w:cs="Open Sans"/>
        </w:rPr>
        <w:t xml:space="preserve">mulo a projetos e processos culturais, da concessão de apoio financeiro e incentivo fiscal aos agentes culturais, da adoção de subsídios econômicos, da implantação regulada de fundos públicos”. </w:t>
      </w:r>
    </w:p>
    <w:p w:rsidR="00D14E29" w:rsidRDefault="00D83979">
      <w:pPr>
        <w:numPr>
          <w:ilvl w:val="0"/>
          <w:numId w:val="3"/>
        </w:numPr>
        <w:spacing w:after="0" w:line="276" w:lineRule="auto"/>
        <w:ind w:left="0" w:firstLine="0"/>
        <w:jc w:val="both"/>
        <w:rPr>
          <w:rFonts w:ascii="Open Sans" w:eastAsia="Open Sans" w:hAnsi="Open Sans" w:cs="Open Sans"/>
        </w:rPr>
      </w:pPr>
      <w:r>
        <w:rPr>
          <w:rFonts w:ascii="Open Sans" w:eastAsia="Open Sans" w:hAnsi="Open Sans" w:cs="Open Sans"/>
        </w:rPr>
        <w:t>No Capítulo III - Democratização do Acesso à Cultura, que det</w:t>
      </w:r>
      <w:r>
        <w:rPr>
          <w:rFonts w:ascii="Open Sans" w:eastAsia="Open Sans" w:hAnsi="Open Sans" w:cs="Open Sans"/>
        </w:rPr>
        <w:t xml:space="preserve">ermina como papel do poder público, no item 3.2.9., “estabelecer redes de museus, bibliotecas, arquivos e outros centros de documentação, públicos ou privados, para promover suas atividades e tornar seus conteúdos acessíveis à população” e no item 3.2.10, </w:t>
      </w:r>
      <w:r>
        <w:rPr>
          <w:rFonts w:ascii="Open Sans" w:eastAsia="Open Sans" w:hAnsi="Open Sans" w:cs="Open Sans"/>
        </w:rPr>
        <w:t>“estimular parcerias entre os setores público e privado para a criação e a manutenção de museus, arquivos e bibliotecas informatizados, com quadro de pessoal habilitado e concursado, orçamento próprio e que contenham políticas específicas de aquisição, pre</w:t>
      </w:r>
      <w:r>
        <w:rPr>
          <w:rFonts w:ascii="Open Sans" w:eastAsia="Open Sans" w:hAnsi="Open Sans" w:cs="Open Sans"/>
        </w:rPr>
        <w:t>servação, conservação, restauração, digitalização e difusão de acervos”.</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3. OBJETIVOS DA PARCERIA E RESULTADOS ESPERADOS</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 finalidade deste edital é promover a formação de núcleos de leitura nas bibliotecas municipais e comunitárias, bem como em outros e</w:t>
      </w:r>
      <w:r>
        <w:rPr>
          <w:rFonts w:ascii="Open Sans" w:eastAsia="Open Sans" w:hAnsi="Open Sans" w:cs="Open Sans"/>
        </w:rPr>
        <w:t xml:space="preserve">spaços de leitura, de modo a estimular e desenvolver novos leitores, valendo-se do trabalho de facilitadores, professores, bibliotecários e outros mediadores. </w:t>
      </w:r>
    </w:p>
    <w:p w:rsidR="00D14E29" w:rsidRDefault="00D14E29">
      <w:pPr>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Também é objetivo da proposta contribuir para a formação de um acervo bibliográfico para os núc</w:t>
      </w:r>
      <w:r>
        <w:rPr>
          <w:rFonts w:ascii="Open Sans" w:eastAsia="Open Sans" w:hAnsi="Open Sans" w:cs="Open Sans"/>
        </w:rPr>
        <w:t>leos de leitura formados, por meio da aquisição de livros e da articulação para manutenção, guarda e gestão deste acervo.</w:t>
      </w:r>
    </w:p>
    <w:p w:rsidR="00D14E29" w:rsidRDefault="00D14E29">
      <w:pPr>
        <w:widowControl w:val="0"/>
        <w:spacing w:after="0" w:line="276" w:lineRule="auto"/>
        <w:jc w:val="both"/>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A presente contratação dos serviços é indispensável para uma operação mais otimizada do projeto, especialmente em virtude da variedad</w:t>
      </w:r>
      <w:r>
        <w:rPr>
          <w:rFonts w:ascii="Open Sans" w:eastAsia="Open Sans" w:hAnsi="Open Sans" w:cs="Open Sans"/>
        </w:rPr>
        <w:t xml:space="preserve">e das atividades oferecidas, do fato de </w:t>
      </w:r>
      <w:r>
        <w:rPr>
          <w:rFonts w:ascii="Open Sans" w:eastAsia="Open Sans" w:hAnsi="Open Sans" w:cs="Open Sans"/>
        </w:rPr>
        <w:lastRenderedPageBreak/>
        <w:t xml:space="preserve">muitas delas acontecerem de forma concomitante em 10 localidades com ampla abrangência geográfica. </w:t>
      </w:r>
    </w:p>
    <w:p w:rsidR="00D14E29" w:rsidRDefault="00D14E29">
      <w:pPr>
        <w:spacing w:after="0" w:line="276" w:lineRule="auto"/>
        <w:rPr>
          <w:rFonts w:ascii="Open Sans" w:eastAsia="Open Sans" w:hAnsi="Open Sans" w:cs="Open Sans"/>
          <w:shd w:val="clear" w:color="auto" w:fill="FF9900"/>
        </w:rPr>
      </w:pPr>
    </w:p>
    <w:p w:rsidR="00D14E29" w:rsidRDefault="00D83979">
      <w:pPr>
        <w:spacing w:after="0" w:line="276" w:lineRule="auto"/>
        <w:rPr>
          <w:rFonts w:ascii="Open Sans" w:eastAsia="Open Sans" w:hAnsi="Open Sans" w:cs="Open Sans"/>
        </w:rPr>
      </w:pPr>
      <w:r>
        <w:rPr>
          <w:rFonts w:ascii="Open Sans" w:eastAsia="Open Sans" w:hAnsi="Open Sans" w:cs="Open Sans"/>
        </w:rPr>
        <w:t>Entende-se que este formato, regulamentado pela Lei nº 13.019/2014, permite uma execução pautada e acompanhada pela</w:t>
      </w:r>
      <w:r>
        <w:rPr>
          <w:rFonts w:ascii="Open Sans" w:eastAsia="Open Sans" w:hAnsi="Open Sans" w:cs="Open Sans"/>
        </w:rPr>
        <w:t xml:space="preserve"> SECULT, mas executada de forma mais dinâmica e descentralizada por um corpo técnico recrutado e organizado pela OSC, justificando, para o bem dos resultados e da otimização dos recursos, o estabelecimento de parcerias para o desenvolvimento das políticas </w:t>
      </w:r>
      <w:r>
        <w:rPr>
          <w:rFonts w:ascii="Open Sans" w:eastAsia="Open Sans" w:hAnsi="Open Sans" w:cs="Open Sans"/>
        </w:rPr>
        <w:t>culturais.</w:t>
      </w:r>
    </w:p>
    <w:p w:rsidR="00D14E29" w:rsidRDefault="00D14E29">
      <w:pPr>
        <w:widowControl w:val="0"/>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Cada ciclo do projeto deverá conter quatro etapas.</w:t>
      </w:r>
    </w:p>
    <w:p w:rsidR="00D14E29" w:rsidRDefault="00D14E29">
      <w:pPr>
        <w:widowControl w:val="0"/>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I - Lançamento do ciclo e mapeamento dos territórios</w:t>
      </w: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Esta etapa compreende o evento de lançamento, marcando o início do projeto; o diagnóstico dos territórios, que devem seguir a lista do ANEX</w:t>
      </w:r>
      <w:r>
        <w:rPr>
          <w:rFonts w:ascii="Open Sans" w:eastAsia="Open Sans" w:hAnsi="Open Sans" w:cs="Open Sans"/>
        </w:rPr>
        <w:t xml:space="preserve">O Lista de Territórios do Programa Estado Presente em Defesa da Vida; definição das localidades, potenciais atividades e linguagens a serem desenvolvidas e espaços destinados a serem os locais de guarda do acervo. </w:t>
      </w:r>
    </w:p>
    <w:p w:rsidR="00D14E29" w:rsidRDefault="00D14E29">
      <w:pPr>
        <w:widowControl w:val="0"/>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 xml:space="preserve">II -  Seleção e formação dos agentes de </w:t>
      </w:r>
      <w:r>
        <w:rPr>
          <w:rFonts w:ascii="Open Sans" w:eastAsia="Open Sans" w:hAnsi="Open Sans" w:cs="Open Sans"/>
        </w:rPr>
        <w:t>leitura</w:t>
      </w: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 xml:space="preserve">Esta etapa compreende uma chamada pública, com critérios definidos em conjunto com a SECULT, para a seleção dos agentes e, na sequência, uma capacitação profissional para os mediadores que estarão à frente dos núcleos de leitura nos territórios. </w:t>
      </w:r>
    </w:p>
    <w:p w:rsidR="00D14E29" w:rsidRDefault="00D14E29">
      <w:pPr>
        <w:widowControl w:val="0"/>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Na formação, os mediadores obterão os conhecimentos, habilidades e instruções para promover colocar os núcleos de leitura em prática. A programação deve incluir o desenvolvimento de um seminário formativo, aberto ao público, mas especialmente destinado aos</w:t>
      </w:r>
      <w:r>
        <w:rPr>
          <w:rFonts w:ascii="Open Sans" w:eastAsia="Open Sans" w:hAnsi="Open Sans" w:cs="Open Sans"/>
        </w:rPr>
        <w:t xml:space="preserve"> profissionais que atuarão diretamente nos municípios atendidos pelo programa. </w:t>
      </w:r>
    </w:p>
    <w:p w:rsidR="00D14E29" w:rsidRDefault="00D14E29">
      <w:pPr>
        <w:widowControl w:val="0"/>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O seminário formativo deverá contar com 20 (vinte) horas de duração, assim divididas:</w:t>
      </w:r>
    </w:p>
    <w:p w:rsidR="00D14E29" w:rsidRDefault="00D14E29">
      <w:pPr>
        <w:widowControl w:val="0"/>
        <w:spacing w:after="0" w:line="276" w:lineRule="auto"/>
        <w:jc w:val="both"/>
        <w:rPr>
          <w:rFonts w:ascii="Open Sans" w:eastAsia="Open Sans" w:hAnsi="Open Sans" w:cs="Open Sans"/>
        </w:rPr>
      </w:pPr>
    </w:p>
    <w:sdt>
      <w:sdtPr>
        <w:tag w:val="goog_rdk_1"/>
        <w:id w:val="-311407397"/>
        <w:lock w:val="contentLocked"/>
      </w:sdtPr>
      <w:sdtEndPr/>
      <w:sdtContent>
        <w:tbl>
          <w:tblPr>
            <w:tblStyle w:val="affd"/>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
            <w:gridCol w:w="4455"/>
            <w:gridCol w:w="2400"/>
            <w:gridCol w:w="2400"/>
          </w:tblGrid>
          <w:tr w:rsidR="00D14E29">
            <w:trPr>
              <w:trHeight w:val="420"/>
            </w:trPr>
            <w:tc>
              <w:tcPr>
                <w:tcW w:w="4800" w:type="dxa"/>
                <w:gridSpan w:val="2"/>
                <w:shd w:val="clear" w:color="auto" w:fill="auto"/>
                <w:tcMar>
                  <w:top w:w="100" w:type="dxa"/>
                  <w:left w:w="100" w:type="dxa"/>
                  <w:bottom w:w="100" w:type="dxa"/>
                  <w:right w:w="100" w:type="dxa"/>
                </w:tcMar>
              </w:tcPr>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Atividade</w:t>
                </w:r>
              </w:p>
            </w:tc>
            <w:tc>
              <w:tcPr>
                <w:tcW w:w="2400" w:type="dxa"/>
                <w:shd w:val="clear" w:color="auto" w:fill="auto"/>
                <w:tcMar>
                  <w:top w:w="100" w:type="dxa"/>
                  <w:left w:w="100" w:type="dxa"/>
                  <w:bottom w:w="100" w:type="dxa"/>
                  <w:right w:w="100" w:type="dxa"/>
                </w:tcMar>
              </w:tcPr>
              <w:p w:rsidR="00D14E29" w:rsidRDefault="00D83979">
                <w:pPr>
                  <w:widowControl w:val="0"/>
                  <w:pBdr>
                    <w:top w:val="nil"/>
                    <w:left w:val="nil"/>
                    <w:bottom w:val="nil"/>
                    <w:right w:val="nil"/>
                    <w:between w:val="nil"/>
                  </w:pBdr>
                  <w:spacing w:after="0" w:line="276" w:lineRule="auto"/>
                  <w:rPr>
                    <w:rFonts w:ascii="Open Sans" w:eastAsia="Open Sans" w:hAnsi="Open Sans" w:cs="Open Sans"/>
                  </w:rPr>
                </w:pPr>
                <w:r>
                  <w:rPr>
                    <w:rFonts w:ascii="Open Sans" w:eastAsia="Open Sans" w:hAnsi="Open Sans" w:cs="Open Sans"/>
                  </w:rPr>
                  <w:t>Objetivo</w:t>
                </w:r>
              </w:p>
            </w:tc>
            <w:tc>
              <w:tcPr>
                <w:tcW w:w="2400" w:type="dxa"/>
                <w:shd w:val="clear" w:color="auto" w:fill="auto"/>
                <w:tcMar>
                  <w:top w:w="100" w:type="dxa"/>
                  <w:left w:w="100" w:type="dxa"/>
                  <w:bottom w:w="100" w:type="dxa"/>
                  <w:right w:w="100" w:type="dxa"/>
                </w:tcMar>
              </w:tcPr>
              <w:p w:rsidR="00D14E29" w:rsidRDefault="00D83979">
                <w:pPr>
                  <w:widowControl w:val="0"/>
                  <w:spacing w:after="0" w:line="276" w:lineRule="auto"/>
                  <w:rPr>
                    <w:rFonts w:ascii="Open Sans" w:eastAsia="Open Sans" w:hAnsi="Open Sans" w:cs="Open Sans"/>
                  </w:rPr>
                </w:pPr>
                <w:r>
                  <w:rPr>
                    <w:rFonts w:ascii="Open Sans" w:eastAsia="Open Sans" w:hAnsi="Open Sans" w:cs="Open Sans"/>
                  </w:rPr>
                  <w:t>Duração</w:t>
                </w:r>
              </w:p>
            </w:tc>
          </w:tr>
          <w:tr w:rsidR="00D14E29">
            <w:tc>
              <w:tcPr>
                <w:tcW w:w="345" w:type="dxa"/>
                <w:shd w:val="clear" w:color="auto" w:fill="auto"/>
                <w:tcMar>
                  <w:top w:w="100" w:type="dxa"/>
                  <w:left w:w="100" w:type="dxa"/>
                  <w:bottom w:w="100" w:type="dxa"/>
                  <w:right w:w="100" w:type="dxa"/>
                </w:tcMar>
              </w:tcPr>
              <w:p w:rsidR="00D14E29" w:rsidRDefault="00D83979">
                <w:pPr>
                  <w:widowControl w:val="0"/>
                  <w:pBdr>
                    <w:top w:val="nil"/>
                    <w:left w:val="nil"/>
                    <w:bottom w:val="nil"/>
                    <w:right w:val="nil"/>
                    <w:between w:val="nil"/>
                  </w:pBdr>
                  <w:spacing w:after="0" w:line="276" w:lineRule="auto"/>
                  <w:rPr>
                    <w:rFonts w:ascii="Open Sans" w:eastAsia="Open Sans" w:hAnsi="Open Sans" w:cs="Open Sans"/>
                  </w:rPr>
                </w:pPr>
                <w:r>
                  <w:rPr>
                    <w:rFonts w:ascii="Open Sans" w:eastAsia="Open Sans" w:hAnsi="Open Sans" w:cs="Open Sans"/>
                  </w:rPr>
                  <w:t>A</w:t>
                </w:r>
              </w:p>
            </w:tc>
            <w:tc>
              <w:tcPr>
                <w:tcW w:w="4455" w:type="dxa"/>
                <w:shd w:val="clear" w:color="auto" w:fill="auto"/>
                <w:tcMar>
                  <w:top w:w="100" w:type="dxa"/>
                  <w:left w:w="100" w:type="dxa"/>
                  <w:bottom w:w="100" w:type="dxa"/>
                  <w:right w:w="100" w:type="dxa"/>
                </w:tcMar>
              </w:tcPr>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Formação Literária</w:t>
                </w:r>
              </w:p>
            </w:tc>
            <w:tc>
              <w:tcPr>
                <w:tcW w:w="2400" w:type="dxa"/>
                <w:shd w:val="clear" w:color="auto" w:fill="auto"/>
                <w:tcMar>
                  <w:top w:w="100" w:type="dxa"/>
                  <w:left w:w="100" w:type="dxa"/>
                  <w:bottom w:w="100" w:type="dxa"/>
                  <w:right w:w="100" w:type="dxa"/>
                </w:tcMar>
              </w:tcPr>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Aberta ao público em geral, com intuito de apresentar palestras formativas de como executar mediação literária e ações culturais. Com intuito que obrigatoriamente já participem aqueles que querem ser agentes</w:t>
                </w:r>
              </w:p>
            </w:tc>
            <w:tc>
              <w:tcPr>
                <w:tcW w:w="2400" w:type="dxa"/>
                <w:shd w:val="clear" w:color="auto" w:fill="auto"/>
                <w:tcMar>
                  <w:top w:w="100" w:type="dxa"/>
                  <w:left w:w="100" w:type="dxa"/>
                  <w:bottom w:w="100" w:type="dxa"/>
                  <w:right w:w="100" w:type="dxa"/>
                </w:tcMar>
              </w:tcPr>
              <w:p w:rsidR="00D14E29" w:rsidRDefault="00D83979">
                <w:pPr>
                  <w:widowControl w:val="0"/>
                  <w:pBdr>
                    <w:top w:val="nil"/>
                    <w:left w:val="nil"/>
                    <w:bottom w:val="nil"/>
                    <w:right w:val="nil"/>
                    <w:between w:val="nil"/>
                  </w:pBdr>
                  <w:spacing w:after="0" w:line="276" w:lineRule="auto"/>
                  <w:rPr>
                    <w:rFonts w:ascii="Open Sans" w:eastAsia="Open Sans" w:hAnsi="Open Sans" w:cs="Open Sans"/>
                  </w:rPr>
                </w:pPr>
                <w:r>
                  <w:rPr>
                    <w:rFonts w:ascii="Open Sans" w:eastAsia="Open Sans" w:hAnsi="Open Sans" w:cs="Open Sans"/>
                  </w:rPr>
                  <w:t>8 horas</w:t>
                </w:r>
              </w:p>
            </w:tc>
          </w:tr>
          <w:tr w:rsidR="00D14E29">
            <w:tc>
              <w:tcPr>
                <w:tcW w:w="345" w:type="dxa"/>
                <w:shd w:val="clear" w:color="auto" w:fill="auto"/>
                <w:tcMar>
                  <w:top w:w="100" w:type="dxa"/>
                  <w:left w:w="100" w:type="dxa"/>
                  <w:bottom w:w="100" w:type="dxa"/>
                  <w:right w:w="100" w:type="dxa"/>
                </w:tcMar>
              </w:tcPr>
              <w:p w:rsidR="00D14E29" w:rsidRDefault="00D83979">
                <w:pPr>
                  <w:widowControl w:val="0"/>
                  <w:pBdr>
                    <w:top w:val="nil"/>
                    <w:left w:val="nil"/>
                    <w:bottom w:val="nil"/>
                    <w:right w:val="nil"/>
                    <w:between w:val="nil"/>
                  </w:pBdr>
                  <w:spacing w:after="0" w:line="276" w:lineRule="auto"/>
                  <w:rPr>
                    <w:rFonts w:ascii="Open Sans" w:eastAsia="Open Sans" w:hAnsi="Open Sans" w:cs="Open Sans"/>
                  </w:rPr>
                </w:pPr>
                <w:r>
                  <w:rPr>
                    <w:rFonts w:ascii="Open Sans" w:eastAsia="Open Sans" w:hAnsi="Open Sans" w:cs="Open Sans"/>
                  </w:rPr>
                  <w:t>B</w:t>
                </w:r>
              </w:p>
            </w:tc>
            <w:tc>
              <w:tcPr>
                <w:tcW w:w="4455" w:type="dxa"/>
                <w:shd w:val="clear" w:color="auto" w:fill="auto"/>
                <w:tcMar>
                  <w:top w:w="100" w:type="dxa"/>
                  <w:left w:w="100" w:type="dxa"/>
                  <w:bottom w:w="100" w:type="dxa"/>
                  <w:right w:w="100" w:type="dxa"/>
                </w:tcMar>
              </w:tcPr>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Formação Mediação de Leitura</w:t>
                </w:r>
              </w:p>
            </w:tc>
            <w:tc>
              <w:tcPr>
                <w:tcW w:w="2400" w:type="dxa"/>
                <w:shd w:val="clear" w:color="auto" w:fill="auto"/>
                <w:tcMar>
                  <w:top w:w="100" w:type="dxa"/>
                  <w:left w:w="100" w:type="dxa"/>
                  <w:bottom w:w="100" w:type="dxa"/>
                  <w:right w:w="100" w:type="dxa"/>
                </w:tcMar>
              </w:tcPr>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Formação</w:t>
                </w:r>
                <w:r>
                  <w:rPr>
                    <w:rFonts w:ascii="Open Sans" w:eastAsia="Open Sans" w:hAnsi="Open Sans" w:cs="Open Sans"/>
                  </w:rPr>
                  <w:t xml:space="preserve"> específica para os agentes que irão atuar nos territórios, para capacitação na abordagem metodológica a ser utilizada nos territórios e dos pontos administrativos e de comunicação</w:t>
                </w:r>
              </w:p>
            </w:tc>
            <w:tc>
              <w:tcPr>
                <w:tcW w:w="2400" w:type="dxa"/>
                <w:shd w:val="clear" w:color="auto" w:fill="auto"/>
                <w:tcMar>
                  <w:top w:w="100" w:type="dxa"/>
                  <w:left w:w="100" w:type="dxa"/>
                  <w:bottom w:w="100" w:type="dxa"/>
                  <w:right w:w="100" w:type="dxa"/>
                </w:tcMar>
              </w:tcPr>
              <w:p w:rsidR="00D14E29" w:rsidRDefault="00D83979">
                <w:pPr>
                  <w:widowControl w:val="0"/>
                  <w:pBdr>
                    <w:top w:val="nil"/>
                    <w:left w:val="nil"/>
                    <w:bottom w:val="nil"/>
                    <w:right w:val="nil"/>
                    <w:between w:val="nil"/>
                  </w:pBdr>
                  <w:spacing w:after="0" w:line="276" w:lineRule="auto"/>
                  <w:rPr>
                    <w:rFonts w:ascii="Open Sans" w:eastAsia="Open Sans" w:hAnsi="Open Sans" w:cs="Open Sans"/>
                  </w:rPr>
                </w:pPr>
                <w:r>
                  <w:rPr>
                    <w:rFonts w:ascii="Open Sans" w:eastAsia="Open Sans" w:hAnsi="Open Sans" w:cs="Open Sans"/>
                  </w:rPr>
                  <w:t>8 horas</w:t>
                </w:r>
              </w:p>
            </w:tc>
          </w:tr>
          <w:tr w:rsidR="00D14E29">
            <w:tc>
              <w:tcPr>
                <w:tcW w:w="345" w:type="dxa"/>
                <w:shd w:val="clear" w:color="auto" w:fill="auto"/>
                <w:tcMar>
                  <w:top w:w="100" w:type="dxa"/>
                  <w:left w:w="100" w:type="dxa"/>
                  <w:bottom w:w="100" w:type="dxa"/>
                  <w:right w:w="100" w:type="dxa"/>
                </w:tcMar>
              </w:tcPr>
              <w:p w:rsidR="00D14E29" w:rsidRDefault="00D83979">
                <w:pPr>
                  <w:widowControl w:val="0"/>
                  <w:pBdr>
                    <w:top w:val="nil"/>
                    <w:left w:val="nil"/>
                    <w:bottom w:val="nil"/>
                    <w:right w:val="nil"/>
                    <w:between w:val="nil"/>
                  </w:pBdr>
                  <w:spacing w:after="0" w:line="276" w:lineRule="auto"/>
                  <w:rPr>
                    <w:rFonts w:ascii="Open Sans" w:eastAsia="Open Sans" w:hAnsi="Open Sans" w:cs="Open Sans"/>
                  </w:rPr>
                </w:pPr>
                <w:r>
                  <w:rPr>
                    <w:rFonts w:ascii="Open Sans" w:eastAsia="Open Sans" w:hAnsi="Open Sans" w:cs="Open Sans"/>
                  </w:rPr>
                  <w:t>C</w:t>
                </w:r>
              </w:p>
            </w:tc>
            <w:tc>
              <w:tcPr>
                <w:tcW w:w="4455" w:type="dxa"/>
                <w:shd w:val="clear" w:color="auto" w:fill="auto"/>
                <w:tcMar>
                  <w:top w:w="100" w:type="dxa"/>
                  <w:left w:w="100" w:type="dxa"/>
                  <w:bottom w:w="100" w:type="dxa"/>
                  <w:right w:w="100" w:type="dxa"/>
                </w:tcMar>
              </w:tcPr>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Formação Acessibilidade e Ações Afirmativas</w:t>
                </w:r>
              </w:p>
            </w:tc>
            <w:tc>
              <w:tcPr>
                <w:tcW w:w="2400" w:type="dxa"/>
                <w:shd w:val="clear" w:color="auto" w:fill="auto"/>
                <w:tcMar>
                  <w:top w:w="100" w:type="dxa"/>
                  <w:left w:w="100" w:type="dxa"/>
                  <w:bottom w:w="100" w:type="dxa"/>
                  <w:right w:w="100" w:type="dxa"/>
                </w:tcMar>
              </w:tcPr>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Formação com foco nas possibilidades de realização de ações inclusivas para pessoas com deficiência e ações afirmativas</w:t>
                </w:r>
              </w:p>
            </w:tc>
            <w:tc>
              <w:tcPr>
                <w:tcW w:w="2400" w:type="dxa"/>
                <w:shd w:val="clear" w:color="auto" w:fill="auto"/>
                <w:tcMar>
                  <w:top w:w="100" w:type="dxa"/>
                  <w:left w:w="100" w:type="dxa"/>
                  <w:bottom w:w="100" w:type="dxa"/>
                  <w:right w:w="100" w:type="dxa"/>
                </w:tcMar>
              </w:tcPr>
              <w:p w:rsidR="00D14E29" w:rsidRDefault="00D83979">
                <w:pPr>
                  <w:widowControl w:val="0"/>
                  <w:pBdr>
                    <w:top w:val="nil"/>
                    <w:left w:val="nil"/>
                    <w:bottom w:val="nil"/>
                    <w:right w:val="nil"/>
                    <w:between w:val="nil"/>
                  </w:pBdr>
                  <w:spacing w:after="0" w:line="276" w:lineRule="auto"/>
                  <w:rPr>
                    <w:rFonts w:ascii="Open Sans" w:eastAsia="Open Sans" w:hAnsi="Open Sans" w:cs="Open Sans"/>
                  </w:rPr>
                </w:pPr>
                <w:r>
                  <w:rPr>
                    <w:rFonts w:ascii="Open Sans" w:eastAsia="Open Sans" w:hAnsi="Open Sans" w:cs="Open Sans"/>
                  </w:rPr>
                  <w:t>4 horas</w:t>
                </w:r>
              </w:p>
            </w:tc>
          </w:tr>
        </w:tbl>
      </w:sdtContent>
    </w:sdt>
    <w:p w:rsidR="00D14E29" w:rsidRDefault="00D14E29">
      <w:pPr>
        <w:widowControl w:val="0"/>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III - Seleção de obras e aquisição de kits de Livro e Leitura</w:t>
      </w: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 xml:space="preserve">Esta etapa compreende a curadoria e aquisição dos títulos que </w:t>
      </w:r>
      <w:r>
        <w:rPr>
          <w:rFonts w:ascii="Open Sans" w:eastAsia="Open Sans" w:hAnsi="Open Sans" w:cs="Open Sans"/>
        </w:rPr>
        <w:t xml:space="preserve">serão usados tanto como suporte para as atividades literárias e para composição do acervo dos núcleos de leitura. Cada núcleo de leitura deverá receber um acervo para uso compartilhado de, no mínimo, 200 títulos. </w:t>
      </w:r>
    </w:p>
    <w:p w:rsidR="00D14E29" w:rsidRDefault="00D14E29">
      <w:pPr>
        <w:widowControl w:val="0"/>
        <w:spacing w:after="0" w:line="276" w:lineRule="auto"/>
        <w:jc w:val="both"/>
        <w:rPr>
          <w:rFonts w:ascii="Open Sans" w:eastAsia="Open Sans" w:hAnsi="Open Sans" w:cs="Open Sans"/>
          <w:highlight w:val="yellow"/>
        </w:rPr>
      </w:pPr>
    </w:p>
    <w:p w:rsidR="00D14E29" w:rsidRDefault="00D83979">
      <w:pPr>
        <w:widowControl w:val="0"/>
        <w:numPr>
          <w:ilvl w:val="0"/>
          <w:numId w:val="6"/>
        </w:numPr>
        <w:spacing w:after="0" w:line="276" w:lineRule="auto"/>
        <w:ind w:left="0" w:firstLine="0"/>
        <w:jc w:val="both"/>
        <w:rPr>
          <w:rFonts w:ascii="Open Sans" w:eastAsia="Open Sans" w:hAnsi="Open Sans" w:cs="Open Sans"/>
        </w:rPr>
      </w:pPr>
      <w:r>
        <w:rPr>
          <w:rFonts w:ascii="Open Sans" w:eastAsia="Open Sans" w:hAnsi="Open Sans" w:cs="Open Sans"/>
        </w:rPr>
        <w:t>A primeira curadoria será realizada em conjunto pela OSC e por representantes da Biblioteca Pública do Espírito Santo (BPES).</w:t>
      </w:r>
    </w:p>
    <w:p w:rsidR="00D14E29" w:rsidRDefault="00D83979">
      <w:pPr>
        <w:widowControl w:val="0"/>
        <w:numPr>
          <w:ilvl w:val="0"/>
          <w:numId w:val="6"/>
        </w:numPr>
        <w:spacing w:after="0" w:line="276" w:lineRule="auto"/>
        <w:ind w:left="0" w:firstLine="0"/>
        <w:jc w:val="both"/>
        <w:rPr>
          <w:rFonts w:ascii="Open Sans" w:eastAsia="Open Sans" w:hAnsi="Open Sans" w:cs="Open Sans"/>
        </w:rPr>
      </w:pPr>
      <w:r>
        <w:rPr>
          <w:rFonts w:ascii="Open Sans" w:eastAsia="Open Sans" w:hAnsi="Open Sans" w:cs="Open Sans"/>
        </w:rPr>
        <w:t>As demais curadorias serão realizadas pelos agentes junto dos participantes dos territórios. Os títulos devem ser definidos em con</w:t>
      </w:r>
      <w:r>
        <w:rPr>
          <w:rFonts w:ascii="Open Sans" w:eastAsia="Open Sans" w:hAnsi="Open Sans" w:cs="Open Sans"/>
        </w:rPr>
        <w:t xml:space="preserve">junto com a comunidade e validados previamente pela SECULT antes da aquisição.  </w:t>
      </w:r>
    </w:p>
    <w:p w:rsidR="00D14E29" w:rsidRDefault="00D83979">
      <w:pPr>
        <w:widowControl w:val="0"/>
        <w:numPr>
          <w:ilvl w:val="0"/>
          <w:numId w:val="6"/>
        </w:numPr>
        <w:spacing w:after="0" w:line="276" w:lineRule="auto"/>
        <w:ind w:left="0" w:firstLine="0"/>
        <w:jc w:val="both"/>
        <w:rPr>
          <w:rFonts w:ascii="Open Sans" w:eastAsia="Open Sans" w:hAnsi="Open Sans" w:cs="Open Sans"/>
        </w:rPr>
      </w:pPr>
      <w:r>
        <w:rPr>
          <w:rFonts w:ascii="Open Sans" w:eastAsia="Open Sans" w:hAnsi="Open Sans" w:cs="Open Sans"/>
        </w:rPr>
        <w:t>Os livros devem ser identificados antes de serem entregues aos territórios e listados para facilitar o acompanhamento do acervo por parte do agente.</w:t>
      </w:r>
    </w:p>
    <w:p w:rsidR="00D14E29" w:rsidRDefault="00D83979">
      <w:pPr>
        <w:widowControl w:val="0"/>
        <w:numPr>
          <w:ilvl w:val="0"/>
          <w:numId w:val="6"/>
        </w:numPr>
        <w:spacing w:after="0" w:line="276" w:lineRule="auto"/>
        <w:ind w:left="0" w:firstLine="0"/>
        <w:jc w:val="both"/>
        <w:rPr>
          <w:rFonts w:ascii="Open Sans" w:eastAsia="Open Sans" w:hAnsi="Open Sans" w:cs="Open Sans"/>
        </w:rPr>
      </w:pPr>
      <w:r>
        <w:rPr>
          <w:rFonts w:ascii="Open Sans" w:eastAsia="Open Sans" w:hAnsi="Open Sans" w:cs="Open Sans"/>
        </w:rPr>
        <w:t>A seleção deve incluir liv</w:t>
      </w:r>
      <w:r>
        <w:rPr>
          <w:rFonts w:ascii="Open Sans" w:eastAsia="Open Sans" w:hAnsi="Open Sans" w:cs="Open Sans"/>
        </w:rPr>
        <w:t xml:space="preserve">ros acessíveis como livros em </w:t>
      </w:r>
      <w:proofErr w:type="spellStart"/>
      <w:r>
        <w:rPr>
          <w:rFonts w:ascii="Open Sans" w:eastAsia="Open Sans" w:hAnsi="Open Sans" w:cs="Open Sans"/>
        </w:rPr>
        <w:t>braille</w:t>
      </w:r>
      <w:proofErr w:type="spellEnd"/>
      <w:r>
        <w:rPr>
          <w:rFonts w:ascii="Open Sans" w:eastAsia="Open Sans" w:hAnsi="Open Sans" w:cs="Open Sans"/>
        </w:rPr>
        <w:t xml:space="preserve">, com fonte ampliada e/ou </w:t>
      </w:r>
      <w:proofErr w:type="spellStart"/>
      <w:r>
        <w:rPr>
          <w:rFonts w:ascii="Open Sans" w:eastAsia="Open Sans" w:hAnsi="Open Sans" w:cs="Open Sans"/>
        </w:rPr>
        <w:t>audiolivros</w:t>
      </w:r>
      <w:proofErr w:type="spellEnd"/>
      <w:r>
        <w:rPr>
          <w:rFonts w:ascii="Open Sans" w:eastAsia="Open Sans" w:hAnsi="Open Sans" w:cs="Open Sans"/>
        </w:rPr>
        <w:t>.</w:t>
      </w:r>
    </w:p>
    <w:p w:rsidR="00D14E29" w:rsidRDefault="00D83979">
      <w:pPr>
        <w:widowControl w:val="0"/>
        <w:numPr>
          <w:ilvl w:val="0"/>
          <w:numId w:val="6"/>
        </w:numPr>
        <w:spacing w:after="0" w:line="276" w:lineRule="auto"/>
        <w:ind w:left="0" w:firstLine="0"/>
        <w:jc w:val="both"/>
        <w:rPr>
          <w:rFonts w:ascii="Open Sans" w:eastAsia="Open Sans" w:hAnsi="Open Sans" w:cs="Open Sans"/>
        </w:rPr>
      </w:pPr>
      <w:r>
        <w:rPr>
          <w:rFonts w:ascii="Open Sans" w:eastAsia="Open Sans" w:hAnsi="Open Sans" w:cs="Open Sans"/>
        </w:rPr>
        <w:t>A cada rodada de seleção e compra dos títulos para os territórios, devem ser entregues dois exemplares de cada título selecionado para a composição do acervo do Sistema Estadual de</w:t>
      </w:r>
      <w:r>
        <w:rPr>
          <w:rFonts w:ascii="Open Sans" w:eastAsia="Open Sans" w:hAnsi="Open Sans" w:cs="Open Sans"/>
        </w:rPr>
        <w:t xml:space="preserve"> Bibliotecas do Espírito Santo (SEBP-ES) como contrapartida. </w:t>
      </w:r>
    </w:p>
    <w:p w:rsidR="00D14E29" w:rsidRDefault="00D14E29">
      <w:pPr>
        <w:widowControl w:val="0"/>
        <w:spacing w:after="0" w:line="276" w:lineRule="auto"/>
        <w:jc w:val="both"/>
        <w:rPr>
          <w:rFonts w:ascii="Open Sans" w:eastAsia="Open Sans" w:hAnsi="Open Sans" w:cs="Open Sans"/>
          <w:highlight w:val="yellow"/>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IV - Realização das ações de fomento à leitura abertas à comunidade</w:t>
      </w: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 xml:space="preserve">Esta etapa consiste na realização das atividades de mediação de leitura, com a liderança dos mediadores formados na etapa II </w:t>
      </w:r>
      <w:r>
        <w:rPr>
          <w:rFonts w:ascii="Open Sans" w:eastAsia="Open Sans" w:hAnsi="Open Sans" w:cs="Open Sans"/>
        </w:rPr>
        <w:t>e suporte completo da OSC responsável pela operacionalização da iniciativa, conforme equipe descrita no ANEXO Formação da equipe de execução do projeto Lugares de Ler.</w:t>
      </w:r>
    </w:p>
    <w:p w:rsidR="00D14E29" w:rsidRDefault="00D83979">
      <w:pPr>
        <w:widowControl w:val="0"/>
        <w:numPr>
          <w:ilvl w:val="0"/>
          <w:numId w:val="4"/>
        </w:numPr>
        <w:spacing w:after="0" w:line="276" w:lineRule="auto"/>
        <w:ind w:left="0" w:firstLine="0"/>
        <w:jc w:val="both"/>
        <w:rPr>
          <w:rFonts w:ascii="Open Sans" w:eastAsia="Open Sans" w:hAnsi="Open Sans" w:cs="Open Sans"/>
        </w:rPr>
      </w:pPr>
      <w:r>
        <w:rPr>
          <w:rFonts w:ascii="Open Sans" w:eastAsia="Open Sans" w:hAnsi="Open Sans" w:cs="Open Sans"/>
        </w:rPr>
        <w:t>Devem ser realizadas pelo menos 04 (quatro) atividades de incentivo à leitura por mês em</w:t>
      </w:r>
      <w:r>
        <w:rPr>
          <w:rFonts w:ascii="Open Sans" w:eastAsia="Open Sans" w:hAnsi="Open Sans" w:cs="Open Sans"/>
        </w:rPr>
        <w:t xml:space="preserve"> cada um dos 10 (dez) territórios, ao longo dos 10 (dez) meses de duração do programa, totalizando 400 (quatrocentas) ações durante a execução completa.</w:t>
      </w:r>
    </w:p>
    <w:p w:rsidR="00D14E29" w:rsidRDefault="00D83979">
      <w:pPr>
        <w:widowControl w:val="0"/>
        <w:numPr>
          <w:ilvl w:val="0"/>
          <w:numId w:val="4"/>
        </w:numPr>
        <w:spacing w:after="0" w:line="276" w:lineRule="auto"/>
        <w:ind w:left="0" w:firstLine="0"/>
        <w:jc w:val="both"/>
        <w:rPr>
          <w:rFonts w:ascii="Open Sans" w:eastAsia="Open Sans" w:hAnsi="Open Sans" w:cs="Open Sans"/>
        </w:rPr>
      </w:pPr>
      <w:r>
        <w:rPr>
          <w:rFonts w:ascii="Open Sans" w:eastAsia="Open Sans" w:hAnsi="Open Sans" w:cs="Open Sans"/>
        </w:rPr>
        <w:t>Entre as atividades que fazem parte do rol de modalidades possíveis estão:</w:t>
      </w:r>
    </w:p>
    <w:p w:rsidR="00D14E29" w:rsidRDefault="00D83979">
      <w:pPr>
        <w:numPr>
          <w:ilvl w:val="0"/>
          <w:numId w:val="5"/>
        </w:numPr>
        <w:spacing w:after="0" w:line="276" w:lineRule="auto"/>
        <w:ind w:left="0" w:firstLine="0"/>
        <w:jc w:val="both"/>
        <w:rPr>
          <w:rFonts w:ascii="Open Sans" w:eastAsia="Open Sans" w:hAnsi="Open Sans" w:cs="Open Sans"/>
        </w:rPr>
      </w:pPr>
      <w:r>
        <w:rPr>
          <w:rFonts w:ascii="Open Sans" w:eastAsia="Open Sans" w:hAnsi="Open Sans" w:cs="Open Sans"/>
        </w:rPr>
        <w:t>Rodas de leitura/clubes de l</w:t>
      </w:r>
      <w:r>
        <w:rPr>
          <w:rFonts w:ascii="Open Sans" w:eastAsia="Open Sans" w:hAnsi="Open Sans" w:cs="Open Sans"/>
        </w:rPr>
        <w:t>eitura;</w:t>
      </w:r>
    </w:p>
    <w:p w:rsidR="00D14E29" w:rsidRDefault="00D83979">
      <w:pPr>
        <w:numPr>
          <w:ilvl w:val="0"/>
          <w:numId w:val="5"/>
        </w:numPr>
        <w:spacing w:after="0" w:line="276" w:lineRule="auto"/>
        <w:ind w:left="0" w:firstLine="0"/>
        <w:jc w:val="both"/>
        <w:rPr>
          <w:rFonts w:ascii="Open Sans" w:eastAsia="Open Sans" w:hAnsi="Open Sans" w:cs="Open Sans"/>
        </w:rPr>
      </w:pPr>
      <w:proofErr w:type="spellStart"/>
      <w:r>
        <w:rPr>
          <w:rFonts w:ascii="Open Sans" w:eastAsia="Open Sans" w:hAnsi="Open Sans" w:cs="Open Sans"/>
        </w:rPr>
        <w:t>Contação</w:t>
      </w:r>
      <w:proofErr w:type="spellEnd"/>
      <w:r>
        <w:rPr>
          <w:rFonts w:ascii="Open Sans" w:eastAsia="Open Sans" w:hAnsi="Open Sans" w:cs="Open Sans"/>
        </w:rPr>
        <w:t xml:space="preserve"> de história;</w:t>
      </w:r>
    </w:p>
    <w:p w:rsidR="00D14E29" w:rsidRDefault="00D83979">
      <w:pPr>
        <w:numPr>
          <w:ilvl w:val="0"/>
          <w:numId w:val="5"/>
        </w:numPr>
        <w:spacing w:after="0" w:line="276" w:lineRule="auto"/>
        <w:ind w:left="0" w:firstLine="0"/>
        <w:jc w:val="both"/>
        <w:rPr>
          <w:rFonts w:ascii="Open Sans" w:eastAsia="Open Sans" w:hAnsi="Open Sans" w:cs="Open Sans"/>
        </w:rPr>
      </w:pPr>
      <w:r>
        <w:rPr>
          <w:rFonts w:ascii="Open Sans" w:eastAsia="Open Sans" w:hAnsi="Open Sans" w:cs="Open Sans"/>
        </w:rPr>
        <w:t>Formação de mediadores de leitura: atividades de capacitação de indivíduos que atuam e impactam a realidade social das comunidades atendidas pelo programa;</w:t>
      </w:r>
    </w:p>
    <w:p w:rsidR="00D14E29" w:rsidRDefault="00D83979">
      <w:pPr>
        <w:numPr>
          <w:ilvl w:val="0"/>
          <w:numId w:val="5"/>
        </w:numPr>
        <w:spacing w:after="0" w:line="276" w:lineRule="auto"/>
        <w:ind w:left="0" w:firstLine="0"/>
        <w:jc w:val="both"/>
        <w:rPr>
          <w:rFonts w:ascii="Open Sans" w:eastAsia="Open Sans" w:hAnsi="Open Sans" w:cs="Open Sans"/>
        </w:rPr>
      </w:pPr>
      <w:r>
        <w:rPr>
          <w:rFonts w:ascii="Open Sans" w:eastAsia="Open Sans" w:hAnsi="Open Sans" w:cs="Open Sans"/>
        </w:rPr>
        <w:t>Oficinas de criações literárias/criativas;</w:t>
      </w:r>
    </w:p>
    <w:p w:rsidR="00D14E29" w:rsidRDefault="00D83979">
      <w:pPr>
        <w:numPr>
          <w:ilvl w:val="0"/>
          <w:numId w:val="5"/>
        </w:numPr>
        <w:spacing w:after="0" w:line="276" w:lineRule="auto"/>
        <w:ind w:left="0" w:firstLine="0"/>
        <w:jc w:val="both"/>
        <w:rPr>
          <w:rFonts w:ascii="Open Sans" w:eastAsia="Open Sans" w:hAnsi="Open Sans" w:cs="Open Sans"/>
        </w:rPr>
      </w:pPr>
      <w:r>
        <w:rPr>
          <w:rFonts w:ascii="Open Sans" w:eastAsia="Open Sans" w:hAnsi="Open Sans" w:cs="Open Sans"/>
        </w:rPr>
        <w:t xml:space="preserve">Poesia/literatura falada: </w:t>
      </w:r>
      <w:proofErr w:type="spellStart"/>
      <w:r>
        <w:rPr>
          <w:rFonts w:ascii="Open Sans" w:eastAsia="Open Sans" w:hAnsi="Open Sans" w:cs="Open Sans"/>
        </w:rPr>
        <w:t>S</w:t>
      </w:r>
      <w:r>
        <w:rPr>
          <w:rFonts w:ascii="Open Sans" w:eastAsia="Open Sans" w:hAnsi="Open Sans" w:cs="Open Sans"/>
        </w:rPr>
        <w:t>lam</w:t>
      </w:r>
      <w:proofErr w:type="spellEnd"/>
      <w:r>
        <w:rPr>
          <w:rFonts w:ascii="Open Sans" w:eastAsia="Open Sans" w:hAnsi="Open Sans" w:cs="Open Sans"/>
        </w:rPr>
        <w:t>, Batalha de Rima, Sarau Literário, Repente;</w:t>
      </w:r>
    </w:p>
    <w:p w:rsidR="00D14E29" w:rsidRDefault="00D83979">
      <w:pPr>
        <w:numPr>
          <w:ilvl w:val="0"/>
          <w:numId w:val="5"/>
        </w:numPr>
        <w:spacing w:after="0" w:line="276" w:lineRule="auto"/>
        <w:ind w:left="0" w:firstLine="0"/>
        <w:jc w:val="both"/>
        <w:rPr>
          <w:rFonts w:ascii="Open Sans" w:eastAsia="Open Sans" w:hAnsi="Open Sans" w:cs="Open Sans"/>
        </w:rPr>
      </w:pPr>
      <w:r>
        <w:rPr>
          <w:rFonts w:ascii="Open Sans" w:eastAsia="Open Sans" w:hAnsi="Open Sans" w:cs="Open Sans"/>
        </w:rPr>
        <w:t>Atividades de incentivo à leitura por meio de outras linguagens artísticas (música, poesia, dança, teatro, cinema, pintura, desenho, cinema, literatura, história em quadrinho, escultura, videogame, grafite, f</w:t>
      </w:r>
      <w:r>
        <w:rPr>
          <w:rFonts w:ascii="Open Sans" w:eastAsia="Open Sans" w:hAnsi="Open Sans" w:cs="Open Sans"/>
        </w:rPr>
        <w:t>otografia);</w:t>
      </w:r>
    </w:p>
    <w:p w:rsidR="00D14E29" w:rsidRDefault="00D83979">
      <w:pPr>
        <w:numPr>
          <w:ilvl w:val="0"/>
          <w:numId w:val="5"/>
        </w:numPr>
        <w:spacing w:after="0" w:line="276" w:lineRule="auto"/>
        <w:ind w:left="0" w:firstLine="0"/>
        <w:jc w:val="both"/>
        <w:rPr>
          <w:rFonts w:ascii="Open Sans" w:eastAsia="Open Sans" w:hAnsi="Open Sans" w:cs="Open Sans"/>
        </w:rPr>
      </w:pPr>
      <w:r>
        <w:rPr>
          <w:rFonts w:ascii="Open Sans" w:eastAsia="Open Sans" w:hAnsi="Open Sans" w:cs="Open Sans"/>
        </w:rPr>
        <w:t>Outras atividades mediadas de fomento à leitura</w:t>
      </w:r>
    </w:p>
    <w:p w:rsidR="00D14E29" w:rsidRDefault="00D83979">
      <w:pPr>
        <w:widowControl w:val="0"/>
        <w:numPr>
          <w:ilvl w:val="0"/>
          <w:numId w:val="4"/>
        </w:numPr>
        <w:spacing w:after="0" w:line="276" w:lineRule="auto"/>
        <w:ind w:left="0" w:firstLine="0"/>
        <w:jc w:val="both"/>
        <w:rPr>
          <w:rFonts w:ascii="Open Sans" w:eastAsia="Open Sans" w:hAnsi="Open Sans" w:cs="Open Sans"/>
        </w:rPr>
      </w:pPr>
      <w:r>
        <w:rPr>
          <w:rFonts w:ascii="Open Sans" w:eastAsia="Open Sans" w:hAnsi="Open Sans" w:cs="Open Sans"/>
        </w:rPr>
        <w:t>Das 4 atividades previstas no item a, 2 têm que ser executadas, obrigatoriamente, no local de guarda do acervo. Todos os territórios atendidos pelas atividades de leitura devem fazer parte dos ter</w:t>
      </w:r>
      <w:r>
        <w:rPr>
          <w:rFonts w:ascii="Open Sans" w:eastAsia="Open Sans" w:hAnsi="Open Sans" w:cs="Open Sans"/>
        </w:rPr>
        <w:t xml:space="preserve">ritórios que integram o Programa Estado Presente em Defesa da Vida, conforme tabela do ANEXO Lista de Territórios do Programa Estado Presente em Defesa da Vida. </w:t>
      </w:r>
    </w:p>
    <w:p w:rsidR="00D14E29" w:rsidRDefault="00D83979">
      <w:pPr>
        <w:widowControl w:val="0"/>
        <w:numPr>
          <w:ilvl w:val="0"/>
          <w:numId w:val="4"/>
        </w:numPr>
        <w:spacing w:after="0" w:line="276" w:lineRule="auto"/>
        <w:ind w:left="0" w:firstLine="0"/>
        <w:jc w:val="both"/>
        <w:rPr>
          <w:rFonts w:ascii="Open Sans" w:eastAsia="Open Sans" w:hAnsi="Open Sans" w:cs="Open Sans"/>
        </w:rPr>
      </w:pPr>
      <w:r>
        <w:rPr>
          <w:rFonts w:ascii="Open Sans" w:eastAsia="Open Sans" w:hAnsi="Open Sans" w:cs="Open Sans"/>
        </w:rPr>
        <w:t>Pelo menos uma das atividades do mês de cada território precisa ter obrigatoriamente um agente</w:t>
      </w:r>
      <w:r>
        <w:rPr>
          <w:rFonts w:ascii="Open Sans" w:eastAsia="Open Sans" w:hAnsi="Open Sans" w:cs="Open Sans"/>
        </w:rPr>
        <w:t xml:space="preserve"> facilitador na questão de acessibilidade, seja um intérprete de libras, um acompanhante para pessoas com transtornos psicológicos ou outro.</w:t>
      </w:r>
    </w:p>
    <w:p w:rsidR="00D14E29" w:rsidRDefault="00D14E29">
      <w:pPr>
        <w:widowControl w:val="0"/>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V - Documentação das atividades</w:t>
      </w: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Produção de um vídeo e de uma revista em formato A4, com até 16 páginas e mínimo de 400 exemplares, documentando os principais resultados do projeto.</w:t>
      </w:r>
    </w:p>
    <w:p w:rsidR="00D14E29" w:rsidRDefault="00D14E29">
      <w:pPr>
        <w:widowControl w:val="0"/>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Assim, a proposta de gestão e plano de trabalho deve contemplar a execução das ações dos itens:</w:t>
      </w: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I. Lançam</w:t>
      </w:r>
      <w:r>
        <w:rPr>
          <w:rFonts w:ascii="Open Sans" w:eastAsia="Open Sans" w:hAnsi="Open Sans" w:cs="Open Sans"/>
        </w:rPr>
        <w:t>ento do projeto e mapeamento dos territórios</w:t>
      </w: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II. Seleção e formação dos agentes de leitura</w:t>
      </w: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III. Seleção de obras e aquisição de kits de Livro e Leitura</w:t>
      </w: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IV. Realização das ações de fomento à leitura abertas à comunidade</w:t>
      </w: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V. Produção de um vídeo e de um catál</w:t>
      </w:r>
      <w:r>
        <w:rPr>
          <w:rFonts w:ascii="Open Sans" w:eastAsia="Open Sans" w:hAnsi="Open Sans" w:cs="Open Sans"/>
        </w:rPr>
        <w:t>ogo com os principais resultados do projeto</w:t>
      </w:r>
    </w:p>
    <w:p w:rsidR="00D14E29" w:rsidRDefault="00D14E29">
      <w:pPr>
        <w:widowControl w:val="0"/>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4. ACESSIBILIDADE E AÇÕES AFIRMATIVAS</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 xml:space="preserve">4.1. Acessibilidade </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 xml:space="preserve">A OSC selecionada por este chamamento deve contar, em sua proposta, com medidas de acessibilidade física, atitudinal e comunicacional compatíveis com </w:t>
      </w:r>
      <w:r>
        <w:rPr>
          <w:rFonts w:ascii="Open Sans" w:eastAsia="Open Sans" w:hAnsi="Open Sans" w:cs="Open Sans"/>
        </w:rPr>
        <w:t>as características dos produtos resultantes do objeto, nos termos do disposto na </w:t>
      </w:r>
      <w:hyperlink r:id="rId8">
        <w:r>
          <w:rPr>
            <w:rFonts w:ascii="Open Sans" w:eastAsia="Open Sans" w:hAnsi="Open Sans" w:cs="Open Sans"/>
          </w:rPr>
          <w:t>Lei nº 13.146, de 6 de julho de 2015</w:t>
        </w:r>
      </w:hyperlink>
      <w:r>
        <w:rPr>
          <w:rFonts w:ascii="Open Sans" w:eastAsia="Open Sans" w:hAnsi="Open Sans" w:cs="Open Sans"/>
        </w:rPr>
        <w:t> (Lei Brasileira de Inclusão da Pessoa com Defic</w:t>
      </w:r>
      <w:r>
        <w:rPr>
          <w:rFonts w:ascii="Open Sans" w:eastAsia="Open Sans" w:hAnsi="Open Sans" w:cs="Open Sans"/>
        </w:rPr>
        <w:t>iência), de modo a contemplar:</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I. No aspecto arquitetônico, recursos de acessibilidade para permitir o acesso de pessoas com mobilidade reduzida ou idosas aos locais onde se realizam as atividades culturais e a espaços acessórios, como banheiros, áreas de</w:t>
      </w:r>
      <w:r>
        <w:rPr>
          <w:rFonts w:ascii="Open Sans" w:eastAsia="Open Sans" w:hAnsi="Open Sans" w:cs="Open Sans"/>
        </w:rPr>
        <w:t xml:space="preserve"> alimentação e circulação;</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II. No aspecto comunicacional, recursos de acessibilidade para permitir o acesso de pessoas com deficiência intelectual, auditiva ou visual ao conteúdo dos produtos culturais gerados pelo programa, pela iniciativa ou pelo espaço;</w:t>
      </w:r>
      <w:r>
        <w:rPr>
          <w:rFonts w:ascii="Open Sans" w:eastAsia="Open Sans" w:hAnsi="Open Sans" w:cs="Open Sans"/>
        </w:rPr>
        <w:t xml:space="preserve"> e</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III. No aspecto atitudinal, a contratação de colaboradores sensibilizados e capacitados para o atendimento de visitantes e usuários com diferentes deficiências e para o desenvolvimento de projetos culturais acessíveis desde a sua concepção, contempladas</w:t>
      </w:r>
      <w:r>
        <w:rPr>
          <w:rFonts w:ascii="Open Sans" w:eastAsia="Open Sans" w:hAnsi="Open Sans" w:cs="Open Sans"/>
        </w:rPr>
        <w:t xml:space="preserve"> a participação de consultores e colaboradores com deficiência e a representatividade nas equipes dos espaços culturais e nas temáticas das exposições, dos espetáculos e das ofertas culturais em geral. </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 proposta deve prever obrigatoriamente medidas de a</w:t>
      </w:r>
      <w:r>
        <w:rPr>
          <w:rFonts w:ascii="Open Sans" w:eastAsia="Open Sans" w:hAnsi="Open Sans" w:cs="Open Sans"/>
        </w:rPr>
        <w:t>cessibilidade colocadas de forma explícita no Plano de Trabalho, sendo assegurado para essa finalidade no mínimo 10% do valor total do investimento no projeto e cumprindo parcial ou totalmente itens entre os seguintes:</w:t>
      </w:r>
    </w:p>
    <w:p w:rsidR="00D14E29" w:rsidRDefault="00D83979">
      <w:pPr>
        <w:numPr>
          <w:ilvl w:val="0"/>
          <w:numId w:val="2"/>
        </w:numPr>
        <w:spacing w:after="0" w:line="276" w:lineRule="auto"/>
        <w:ind w:left="0" w:firstLine="0"/>
        <w:jc w:val="both"/>
        <w:rPr>
          <w:rFonts w:ascii="Open Sans" w:eastAsia="Open Sans" w:hAnsi="Open Sans" w:cs="Open Sans"/>
        </w:rPr>
      </w:pPr>
      <w:r>
        <w:rPr>
          <w:rFonts w:ascii="Open Sans" w:eastAsia="Open Sans" w:hAnsi="Open Sans" w:cs="Open Sans"/>
        </w:rPr>
        <w:t xml:space="preserve">Aquisição de livros em Braille, </w:t>
      </w:r>
      <w:proofErr w:type="spellStart"/>
      <w:r>
        <w:rPr>
          <w:rFonts w:ascii="Open Sans" w:eastAsia="Open Sans" w:hAnsi="Open Sans" w:cs="Open Sans"/>
        </w:rPr>
        <w:t>audio</w:t>
      </w:r>
      <w:r>
        <w:rPr>
          <w:rFonts w:ascii="Open Sans" w:eastAsia="Open Sans" w:hAnsi="Open Sans" w:cs="Open Sans"/>
        </w:rPr>
        <w:t>livros</w:t>
      </w:r>
      <w:proofErr w:type="spellEnd"/>
      <w:r>
        <w:rPr>
          <w:rFonts w:ascii="Open Sans" w:eastAsia="Open Sans" w:hAnsi="Open Sans" w:cs="Open Sans"/>
        </w:rPr>
        <w:t xml:space="preserve"> e livros em fonte ampliada</w:t>
      </w:r>
    </w:p>
    <w:p w:rsidR="00D14E29" w:rsidRDefault="00D83979">
      <w:pPr>
        <w:numPr>
          <w:ilvl w:val="0"/>
          <w:numId w:val="2"/>
        </w:numPr>
        <w:spacing w:after="0" w:line="276" w:lineRule="auto"/>
        <w:ind w:left="0" w:firstLine="0"/>
        <w:jc w:val="both"/>
        <w:rPr>
          <w:rFonts w:ascii="Open Sans" w:eastAsia="Open Sans" w:hAnsi="Open Sans" w:cs="Open Sans"/>
        </w:rPr>
      </w:pPr>
      <w:r>
        <w:rPr>
          <w:rFonts w:ascii="Open Sans" w:eastAsia="Open Sans" w:hAnsi="Open Sans" w:cs="Open Sans"/>
        </w:rPr>
        <w:t>Planejamento de comunicação específica para pessoas com deficiência</w:t>
      </w:r>
    </w:p>
    <w:p w:rsidR="00D14E29" w:rsidRDefault="00D83979">
      <w:pPr>
        <w:numPr>
          <w:ilvl w:val="0"/>
          <w:numId w:val="2"/>
        </w:numPr>
        <w:spacing w:after="0" w:line="276" w:lineRule="auto"/>
        <w:ind w:left="0" w:firstLine="0"/>
        <w:jc w:val="both"/>
        <w:rPr>
          <w:rFonts w:ascii="Open Sans" w:eastAsia="Open Sans" w:hAnsi="Open Sans" w:cs="Open Sans"/>
        </w:rPr>
      </w:pPr>
      <w:r>
        <w:rPr>
          <w:rFonts w:ascii="Open Sans" w:eastAsia="Open Sans" w:hAnsi="Open Sans" w:cs="Open Sans"/>
        </w:rPr>
        <w:t>Adaptação de espaços públicos para as ações com vistas à inclusão e acessibilidade</w:t>
      </w:r>
    </w:p>
    <w:p w:rsidR="00D14E29" w:rsidRDefault="00D83979">
      <w:pPr>
        <w:numPr>
          <w:ilvl w:val="0"/>
          <w:numId w:val="2"/>
        </w:numPr>
        <w:spacing w:after="0" w:line="276" w:lineRule="auto"/>
        <w:ind w:left="0" w:firstLine="0"/>
        <w:jc w:val="both"/>
        <w:rPr>
          <w:rFonts w:ascii="Open Sans" w:eastAsia="Open Sans" w:hAnsi="Open Sans" w:cs="Open Sans"/>
        </w:rPr>
      </w:pPr>
      <w:r>
        <w:rPr>
          <w:rFonts w:ascii="Open Sans" w:eastAsia="Open Sans" w:hAnsi="Open Sans" w:cs="Open Sans"/>
        </w:rPr>
        <w:t xml:space="preserve">Utilização de tecnologias </w:t>
      </w:r>
      <w:proofErr w:type="spellStart"/>
      <w:r>
        <w:rPr>
          <w:rFonts w:ascii="Open Sans" w:eastAsia="Open Sans" w:hAnsi="Open Sans" w:cs="Open Sans"/>
        </w:rPr>
        <w:t>assistivas</w:t>
      </w:r>
      <w:proofErr w:type="spellEnd"/>
      <w:r>
        <w:rPr>
          <w:rFonts w:ascii="Open Sans" w:eastAsia="Open Sans" w:hAnsi="Open Sans" w:cs="Open Sans"/>
        </w:rPr>
        <w:t>, ajudas técnicas e produtos com desenho universal</w:t>
      </w:r>
    </w:p>
    <w:p w:rsidR="00D14E29" w:rsidRDefault="00D83979">
      <w:pPr>
        <w:numPr>
          <w:ilvl w:val="0"/>
          <w:numId w:val="2"/>
        </w:numPr>
        <w:spacing w:after="0" w:line="276" w:lineRule="auto"/>
        <w:ind w:left="0" w:firstLine="0"/>
        <w:jc w:val="both"/>
        <w:rPr>
          <w:rFonts w:ascii="Open Sans" w:eastAsia="Open Sans" w:hAnsi="Open Sans" w:cs="Open Sans"/>
        </w:rPr>
      </w:pPr>
      <w:r>
        <w:rPr>
          <w:rFonts w:ascii="Open Sans" w:eastAsia="Open Sans" w:hAnsi="Open Sans" w:cs="Open Sans"/>
        </w:rPr>
        <w:t>Medidas de prevenção e erradicação de barreiras atitudinais</w:t>
      </w:r>
    </w:p>
    <w:p w:rsidR="00D14E29" w:rsidRDefault="00D83979">
      <w:pPr>
        <w:numPr>
          <w:ilvl w:val="0"/>
          <w:numId w:val="2"/>
        </w:numPr>
        <w:spacing w:after="0" w:line="276" w:lineRule="auto"/>
        <w:ind w:left="0" w:firstLine="0"/>
        <w:jc w:val="both"/>
        <w:rPr>
          <w:rFonts w:ascii="Open Sans" w:eastAsia="Open Sans" w:hAnsi="Open Sans" w:cs="Open Sans"/>
        </w:rPr>
      </w:pPr>
      <w:r>
        <w:rPr>
          <w:rFonts w:ascii="Open Sans" w:eastAsia="Open Sans" w:hAnsi="Open Sans" w:cs="Open Sans"/>
        </w:rPr>
        <w:t>Contratação de serviços de assistência por acompanhante</w:t>
      </w:r>
    </w:p>
    <w:p w:rsidR="00D14E29" w:rsidRDefault="00D83979">
      <w:pPr>
        <w:numPr>
          <w:ilvl w:val="0"/>
          <w:numId w:val="2"/>
        </w:numPr>
        <w:spacing w:after="0" w:line="276" w:lineRule="auto"/>
        <w:ind w:left="0" w:firstLine="0"/>
        <w:jc w:val="both"/>
        <w:rPr>
          <w:rFonts w:ascii="Open Sans" w:eastAsia="Open Sans" w:hAnsi="Open Sans" w:cs="Open Sans"/>
        </w:rPr>
      </w:pPr>
      <w:r>
        <w:rPr>
          <w:rFonts w:ascii="Open Sans" w:eastAsia="Open Sans" w:hAnsi="Open Sans" w:cs="Open Sans"/>
        </w:rPr>
        <w:t xml:space="preserve">Oferta de ações de formação e capacitação acessíveis </w:t>
      </w:r>
      <w:r>
        <w:rPr>
          <w:rFonts w:ascii="Open Sans" w:eastAsia="Open Sans" w:hAnsi="Open Sans" w:cs="Open Sans"/>
        </w:rPr>
        <w:t>a pessoas com deficiência</w:t>
      </w:r>
    </w:p>
    <w:p w:rsidR="00D14E29" w:rsidRDefault="00D83979">
      <w:pPr>
        <w:numPr>
          <w:ilvl w:val="0"/>
          <w:numId w:val="2"/>
        </w:numPr>
        <w:spacing w:after="0" w:line="276" w:lineRule="auto"/>
        <w:ind w:left="0" w:firstLine="0"/>
        <w:jc w:val="both"/>
        <w:rPr>
          <w:rFonts w:ascii="Open Sans" w:eastAsia="Open Sans" w:hAnsi="Open Sans" w:cs="Open Sans"/>
        </w:rPr>
      </w:pPr>
      <w:r>
        <w:rPr>
          <w:rFonts w:ascii="Open Sans" w:eastAsia="Open Sans" w:hAnsi="Open Sans" w:cs="Open Sans"/>
        </w:rPr>
        <w:t>Execução ao longo do projeto de, no mínimo, 2 (duas) atividades abertas ao público e obrigatórias para os agentes voltadas a tópicos de acessibilidade, com duração mínima de 2 horas cada</w:t>
      </w:r>
    </w:p>
    <w:p w:rsidR="00D14E29" w:rsidRDefault="00D14E29">
      <w:pPr>
        <w:spacing w:after="0" w:line="276" w:lineRule="auto"/>
        <w:jc w:val="both"/>
        <w:rPr>
          <w:rFonts w:ascii="Open Sans" w:eastAsia="Open Sans" w:hAnsi="Open Sans" w:cs="Open Sans"/>
          <w:highlight w:val="cyan"/>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 organização selecionada pode, ainda, sug</w:t>
      </w:r>
      <w:r>
        <w:rPr>
          <w:rFonts w:ascii="Open Sans" w:eastAsia="Open Sans" w:hAnsi="Open Sans" w:cs="Open Sans"/>
        </w:rPr>
        <w:t>erir no Plano de Trabalho o estabelecimento de outros tipos de medidas de acessibilidade a serem adotadas.</w:t>
      </w:r>
    </w:p>
    <w:p w:rsidR="00D14E29" w:rsidRDefault="00D14E29">
      <w:pPr>
        <w:spacing w:after="0" w:line="276" w:lineRule="auto"/>
        <w:jc w:val="both"/>
        <w:rPr>
          <w:rFonts w:ascii="Open Sans" w:eastAsia="Open Sans" w:hAnsi="Open Sans" w:cs="Open Sans"/>
          <w:highlight w:val="red"/>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4.2. Ações afirmativas</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 OSC, em sua proposta, deve também garantir cotas étnicas-raciais na formação da equipe que atuará no programa, incluindo m</w:t>
      </w:r>
      <w:r>
        <w:rPr>
          <w:rFonts w:ascii="Open Sans" w:eastAsia="Open Sans" w:hAnsi="Open Sans" w:cs="Open Sans"/>
        </w:rPr>
        <w:t>ediadores e profissionais de produção, nas seguintes proporções:</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a) no mínimo 20% para pessoas pretas e pardas</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b) no mínimo 10% para pessoas indígenas</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c) no mínimo 20% para pessoas LGBTQIA+</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 organização selecionada pode, ainda, sugerir no Plano de Trabal</w:t>
      </w:r>
      <w:r>
        <w:rPr>
          <w:rFonts w:ascii="Open Sans" w:eastAsia="Open Sans" w:hAnsi="Open Sans" w:cs="Open Sans"/>
        </w:rPr>
        <w:t>ho o estabelecimento de outros tipos de cotas a serem adotadas.</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 organização também deve executar, no mínimo, 1 (uma) formação ao longo do projeto aos mediadores de leitura voltada a tópicos de ações afirmativas e sua conexão com o mundo da leitura e lit</w:t>
      </w:r>
      <w:r>
        <w:rPr>
          <w:rFonts w:ascii="Open Sans" w:eastAsia="Open Sans" w:hAnsi="Open Sans" w:cs="Open Sans"/>
        </w:rPr>
        <w:t xml:space="preserve">eratura, com duração mínima de 2 (duas) horas. </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5. CRITÉRIOS DE SELEÇÃO</w:t>
      </w:r>
    </w:p>
    <w:p w:rsidR="00D14E29" w:rsidRDefault="00D14E29">
      <w:pPr>
        <w:spacing w:after="0" w:line="276" w:lineRule="auto"/>
        <w:rPr>
          <w:rFonts w:ascii="Open Sans" w:eastAsia="Open Sans" w:hAnsi="Open Sans" w:cs="Open Sans"/>
        </w:rPr>
      </w:pPr>
    </w:p>
    <w:p w:rsidR="00D14E29" w:rsidRDefault="00D83979">
      <w:pPr>
        <w:tabs>
          <w:tab w:val="left" w:pos="1123"/>
        </w:tabs>
        <w:spacing w:after="0" w:line="276" w:lineRule="auto"/>
        <w:rPr>
          <w:rFonts w:ascii="Open Sans" w:eastAsia="Open Sans" w:hAnsi="Open Sans" w:cs="Open Sans"/>
        </w:rPr>
      </w:pPr>
      <w:proofErr w:type="gramStart"/>
      <w:r>
        <w:rPr>
          <w:rFonts w:ascii="Open Sans" w:eastAsia="Open Sans" w:hAnsi="Open Sans" w:cs="Open Sans"/>
        </w:rPr>
        <w:t>A avaliação das organizações inscritas neste chamamento público serão</w:t>
      </w:r>
      <w:proofErr w:type="gramEnd"/>
      <w:r>
        <w:rPr>
          <w:rFonts w:ascii="Open Sans" w:eastAsia="Open Sans" w:hAnsi="Open Sans" w:cs="Open Sans"/>
        </w:rPr>
        <w:t xml:space="preserve"> feitas com base nos critérios de julgamento apresentados no quadro abaixo.</w:t>
      </w:r>
    </w:p>
    <w:p w:rsidR="00D14E29" w:rsidRDefault="00D14E29">
      <w:pPr>
        <w:spacing w:after="0" w:line="276" w:lineRule="auto"/>
        <w:rPr>
          <w:rFonts w:ascii="Open Sans" w:eastAsia="Open Sans" w:hAnsi="Open Sans" w:cs="Open Sans"/>
        </w:rPr>
      </w:pPr>
      <w:bookmarkStart w:id="1" w:name="_heading=h.f3rklpgteg5t" w:colFirst="0" w:colLast="0"/>
      <w:bookmarkEnd w:id="1"/>
    </w:p>
    <w:p w:rsidR="00D14E29" w:rsidRDefault="00D83979">
      <w:pPr>
        <w:spacing w:after="0" w:line="276" w:lineRule="auto"/>
        <w:rPr>
          <w:rFonts w:ascii="Open Sans" w:eastAsia="Open Sans" w:hAnsi="Open Sans" w:cs="Open Sans"/>
        </w:rPr>
      </w:pPr>
      <w:bookmarkStart w:id="2" w:name="_heading=h.3rdcrjn" w:colFirst="0" w:colLast="0"/>
      <w:bookmarkEnd w:id="2"/>
      <w:r>
        <w:rPr>
          <w:rFonts w:ascii="Open Sans" w:eastAsia="Open Sans" w:hAnsi="Open Sans" w:cs="Open Sans"/>
        </w:rPr>
        <w:t>Tabela 1 – Critérios de Pontuação</w:t>
      </w:r>
    </w:p>
    <w:p w:rsidR="00D14E29" w:rsidRDefault="00D14E29">
      <w:pPr>
        <w:spacing w:after="0" w:line="276" w:lineRule="auto"/>
        <w:rPr>
          <w:rFonts w:ascii="Open Sans" w:eastAsia="Open Sans" w:hAnsi="Open Sans" w:cs="Open Sans"/>
        </w:rPr>
      </w:pPr>
    </w:p>
    <w:sdt>
      <w:sdtPr>
        <w:tag w:val="goog_rdk_2"/>
        <w:id w:val="-785268927"/>
        <w:lock w:val="contentLocked"/>
      </w:sdtPr>
      <w:sdtEndPr/>
      <w:sdtContent>
        <w:tbl>
          <w:tblPr>
            <w:tblStyle w:val="affe"/>
            <w:tblW w:w="9045" w:type="dxa"/>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130"/>
            <w:gridCol w:w="1155"/>
            <w:gridCol w:w="1140"/>
            <w:gridCol w:w="1620"/>
          </w:tblGrid>
          <w:tr w:rsidR="00D14E29">
            <w:trPr>
              <w:trHeight w:val="344"/>
            </w:trPr>
            <w:tc>
              <w:tcPr>
                <w:tcW w:w="9045" w:type="dxa"/>
                <w:gridSpan w:val="4"/>
                <w:shd w:val="clear" w:color="auto" w:fill="B7B7B7"/>
              </w:tcPr>
              <w:p w:rsidR="00D14E29" w:rsidRDefault="00D83979">
                <w:pPr>
                  <w:spacing w:line="276" w:lineRule="auto"/>
                  <w:rPr>
                    <w:rFonts w:ascii="Open Sans" w:eastAsia="Open Sans" w:hAnsi="Open Sans" w:cs="Open Sans"/>
                  </w:rPr>
                </w:pPr>
                <w:r>
                  <w:rPr>
                    <w:rFonts w:ascii="Open Sans" w:eastAsia="Open Sans" w:hAnsi="Open Sans" w:cs="Open Sans"/>
                  </w:rPr>
                  <w:t>CRITÉRIOS DE PONTUAÇÃO</w:t>
                </w:r>
              </w:p>
            </w:tc>
          </w:tr>
          <w:tr w:rsidR="00D14E29">
            <w:trPr>
              <w:trHeight w:val="347"/>
            </w:trPr>
            <w:tc>
              <w:tcPr>
                <w:tcW w:w="9045" w:type="dxa"/>
                <w:gridSpan w:val="4"/>
                <w:shd w:val="clear" w:color="auto" w:fill="CCCCCC"/>
              </w:tcPr>
              <w:p w:rsidR="00D14E29" w:rsidRDefault="00D83979">
                <w:pPr>
                  <w:spacing w:line="276" w:lineRule="auto"/>
                  <w:rPr>
                    <w:rFonts w:ascii="Open Sans" w:eastAsia="Open Sans" w:hAnsi="Open Sans" w:cs="Open Sans"/>
                  </w:rPr>
                </w:pPr>
                <w:r>
                  <w:rPr>
                    <w:rFonts w:ascii="Open Sans" w:eastAsia="Open Sans" w:hAnsi="Open Sans" w:cs="Open Sans"/>
                  </w:rPr>
                  <w:t>A - Articulação e Consistência do Projeto</w:t>
                </w:r>
              </w:p>
            </w:tc>
          </w:tr>
          <w:tr w:rsidR="00D14E29">
            <w:trPr>
              <w:trHeight w:val="1148"/>
            </w:trPr>
            <w:tc>
              <w:tcPr>
                <w:tcW w:w="5130" w:type="dxa"/>
              </w:tcPr>
              <w:p w:rsidR="00D14E29" w:rsidRDefault="00D83979">
                <w:pPr>
                  <w:spacing w:line="276" w:lineRule="auto"/>
                  <w:rPr>
                    <w:rFonts w:ascii="Open Sans" w:eastAsia="Open Sans" w:hAnsi="Open Sans" w:cs="Open Sans"/>
                  </w:rPr>
                </w:pPr>
                <w:r>
                  <w:rPr>
                    <w:rFonts w:ascii="Open Sans" w:eastAsia="Open Sans" w:hAnsi="Open Sans" w:cs="Open Sans"/>
                  </w:rPr>
                  <w:t>1. Consistência e relevância do projeto: serão avaliadas a abordagem e a metodologia propostas para a execução das ações e sua adequação aos ANEXOS Diretrizes para Elaboração do Plano de Trabalho e Nota Técnica</w:t>
                </w:r>
              </w:p>
            </w:tc>
            <w:tc>
              <w:tcPr>
                <w:tcW w:w="1155" w:type="dxa"/>
              </w:tcPr>
              <w:p w:rsidR="00D14E29" w:rsidRDefault="00D14E29">
                <w:pPr>
                  <w:spacing w:line="276" w:lineRule="auto"/>
                  <w:rPr>
                    <w:rFonts w:ascii="Open Sans" w:eastAsia="Open Sans" w:hAnsi="Open Sans" w:cs="Open Sans"/>
                  </w:rPr>
                </w:pPr>
              </w:p>
              <w:p w:rsidR="00D14E29" w:rsidRDefault="00D14E29">
                <w:pPr>
                  <w:spacing w:line="276" w:lineRule="auto"/>
                  <w:rPr>
                    <w:rFonts w:ascii="Open Sans" w:eastAsia="Open Sans" w:hAnsi="Open Sans" w:cs="Open Sans"/>
                  </w:rPr>
                </w:pPr>
              </w:p>
              <w:p w:rsidR="00D14E29" w:rsidRDefault="00D83979">
                <w:pPr>
                  <w:spacing w:line="276" w:lineRule="auto"/>
                  <w:rPr>
                    <w:rFonts w:ascii="Open Sans" w:eastAsia="Open Sans" w:hAnsi="Open Sans" w:cs="Open Sans"/>
                  </w:rPr>
                </w:pPr>
                <w:r>
                  <w:rPr>
                    <w:rFonts w:ascii="Open Sans" w:eastAsia="Open Sans" w:hAnsi="Open Sans" w:cs="Open Sans"/>
                  </w:rPr>
                  <w:t>PESO</w:t>
                </w:r>
              </w:p>
            </w:tc>
            <w:tc>
              <w:tcPr>
                <w:tcW w:w="1140" w:type="dxa"/>
              </w:tcPr>
              <w:p w:rsidR="00D14E29" w:rsidRDefault="00D14E29">
                <w:pPr>
                  <w:spacing w:line="276" w:lineRule="auto"/>
                  <w:rPr>
                    <w:rFonts w:ascii="Open Sans" w:eastAsia="Open Sans" w:hAnsi="Open Sans" w:cs="Open Sans"/>
                  </w:rPr>
                </w:pPr>
              </w:p>
              <w:p w:rsidR="00D14E29" w:rsidRDefault="00D83979">
                <w:pPr>
                  <w:spacing w:line="276" w:lineRule="auto"/>
                  <w:rPr>
                    <w:rFonts w:ascii="Open Sans" w:eastAsia="Open Sans" w:hAnsi="Open Sans" w:cs="Open Sans"/>
                  </w:rPr>
                </w:pPr>
                <w:r>
                  <w:rPr>
                    <w:rFonts w:ascii="Open Sans" w:eastAsia="Open Sans" w:hAnsi="Open Sans" w:cs="Open Sans"/>
                  </w:rPr>
                  <w:t>NOTA MÁXIMA</w:t>
                </w:r>
              </w:p>
            </w:tc>
            <w:tc>
              <w:tcPr>
                <w:tcW w:w="1620" w:type="dxa"/>
              </w:tcPr>
              <w:p w:rsidR="00D14E29" w:rsidRDefault="00D14E29">
                <w:pPr>
                  <w:spacing w:line="276" w:lineRule="auto"/>
                  <w:rPr>
                    <w:rFonts w:ascii="Open Sans" w:eastAsia="Open Sans" w:hAnsi="Open Sans" w:cs="Open Sans"/>
                  </w:rPr>
                </w:pPr>
              </w:p>
              <w:p w:rsidR="00D14E29" w:rsidRDefault="00D83979">
                <w:pPr>
                  <w:spacing w:line="276" w:lineRule="auto"/>
                  <w:rPr>
                    <w:rFonts w:ascii="Open Sans" w:eastAsia="Open Sans" w:hAnsi="Open Sans" w:cs="Open Sans"/>
                  </w:rPr>
                </w:pPr>
                <w:r>
                  <w:rPr>
                    <w:rFonts w:ascii="Open Sans" w:eastAsia="Open Sans" w:hAnsi="Open Sans" w:cs="Open Sans"/>
                  </w:rPr>
                  <w:t>PONTOS</w:t>
                </w:r>
              </w:p>
            </w:tc>
          </w:tr>
          <w:tr w:rsidR="00D14E29">
            <w:trPr>
              <w:trHeight w:val="764"/>
            </w:trPr>
            <w:tc>
              <w:tcPr>
                <w:tcW w:w="5130" w:type="dxa"/>
              </w:tcPr>
              <w:p w:rsidR="00D14E29" w:rsidRDefault="00D83979">
                <w:pPr>
                  <w:spacing w:line="276" w:lineRule="auto"/>
                  <w:rPr>
                    <w:rFonts w:ascii="Open Sans" w:eastAsia="Open Sans" w:hAnsi="Open Sans" w:cs="Open Sans"/>
                  </w:rPr>
                </w:pPr>
                <w:r>
                  <w:rPr>
                    <w:rFonts w:ascii="Open Sans" w:eastAsia="Open Sans" w:hAnsi="Open Sans" w:cs="Open Sans"/>
                  </w:rPr>
                  <w:t>2. Nexo: será avaliada a importância das ações propostas para a sociedade capixaba, o nexo entre o contexto cultural e a relevância da programação para a cultura do Espírito Santo.</w:t>
                </w:r>
              </w:p>
            </w:tc>
            <w:tc>
              <w:tcPr>
                <w:tcW w:w="1155" w:type="dxa"/>
              </w:tcPr>
              <w:p w:rsidR="00D14E29" w:rsidRDefault="00D83979">
                <w:pPr>
                  <w:spacing w:line="276" w:lineRule="auto"/>
                  <w:rPr>
                    <w:rFonts w:ascii="Open Sans" w:eastAsia="Open Sans" w:hAnsi="Open Sans" w:cs="Open Sans"/>
                  </w:rPr>
                </w:pPr>
                <w:r>
                  <w:rPr>
                    <w:rFonts w:ascii="Open Sans" w:eastAsia="Open Sans" w:hAnsi="Open Sans" w:cs="Open Sans"/>
                  </w:rPr>
                  <w:t>4</w:t>
                </w:r>
              </w:p>
            </w:tc>
            <w:tc>
              <w:tcPr>
                <w:tcW w:w="1140" w:type="dxa"/>
              </w:tcPr>
              <w:p w:rsidR="00D14E29" w:rsidRDefault="00D83979">
                <w:pPr>
                  <w:spacing w:line="276" w:lineRule="auto"/>
                  <w:rPr>
                    <w:rFonts w:ascii="Open Sans" w:eastAsia="Open Sans" w:hAnsi="Open Sans" w:cs="Open Sans"/>
                  </w:rPr>
                </w:pPr>
                <w:r>
                  <w:rPr>
                    <w:rFonts w:ascii="Open Sans" w:eastAsia="Open Sans" w:hAnsi="Open Sans" w:cs="Open Sans"/>
                  </w:rPr>
                  <w:t>5</w:t>
                </w:r>
              </w:p>
            </w:tc>
            <w:tc>
              <w:tcPr>
                <w:tcW w:w="1620" w:type="dxa"/>
              </w:tcPr>
              <w:p w:rsidR="00D14E29" w:rsidRDefault="00D83979">
                <w:pPr>
                  <w:spacing w:line="276" w:lineRule="auto"/>
                  <w:rPr>
                    <w:rFonts w:ascii="Open Sans" w:eastAsia="Open Sans" w:hAnsi="Open Sans" w:cs="Open Sans"/>
                  </w:rPr>
                </w:pPr>
                <w:r>
                  <w:rPr>
                    <w:rFonts w:ascii="Open Sans" w:eastAsia="Open Sans" w:hAnsi="Open Sans" w:cs="Open Sans"/>
                  </w:rPr>
                  <w:t>20</w:t>
                </w:r>
              </w:p>
            </w:tc>
          </w:tr>
          <w:tr w:rsidR="00D14E29">
            <w:trPr>
              <w:trHeight w:val="1259"/>
            </w:trPr>
            <w:tc>
              <w:tcPr>
                <w:tcW w:w="5130" w:type="dxa"/>
              </w:tcPr>
              <w:p w:rsidR="00D14E29" w:rsidRDefault="00D83979">
                <w:pPr>
                  <w:spacing w:line="276" w:lineRule="auto"/>
                  <w:rPr>
                    <w:rFonts w:ascii="Open Sans" w:eastAsia="Open Sans" w:hAnsi="Open Sans" w:cs="Open Sans"/>
                  </w:rPr>
                </w:pPr>
                <w:r>
                  <w:rPr>
                    <w:rFonts w:ascii="Open Sans" w:eastAsia="Open Sans" w:hAnsi="Open Sans" w:cs="Open Sans"/>
                  </w:rPr>
                  <w:t>3. Objetivos e metas: será avaliado se as ações e metas propostas e</w:t>
                </w:r>
                <w:r>
                  <w:rPr>
                    <w:rFonts w:ascii="Open Sans" w:eastAsia="Open Sans" w:hAnsi="Open Sans" w:cs="Open Sans"/>
                  </w:rPr>
                  <w:t>stão em conformidade com as diretrizes do programa e as exigências do edital, se cumprem os itens obrigatórios da nota técnica e se propõem novas metas análogas não listadas neste certame.</w:t>
                </w:r>
              </w:p>
            </w:tc>
            <w:tc>
              <w:tcPr>
                <w:tcW w:w="1155" w:type="dxa"/>
              </w:tcPr>
              <w:p w:rsidR="00D14E29" w:rsidRDefault="00D83979">
                <w:pPr>
                  <w:spacing w:line="276" w:lineRule="auto"/>
                  <w:rPr>
                    <w:rFonts w:ascii="Open Sans" w:eastAsia="Open Sans" w:hAnsi="Open Sans" w:cs="Open Sans"/>
                  </w:rPr>
                </w:pPr>
                <w:r>
                  <w:rPr>
                    <w:rFonts w:ascii="Open Sans" w:eastAsia="Open Sans" w:hAnsi="Open Sans" w:cs="Open Sans"/>
                  </w:rPr>
                  <w:t>4</w:t>
                </w:r>
              </w:p>
            </w:tc>
            <w:tc>
              <w:tcPr>
                <w:tcW w:w="1140" w:type="dxa"/>
              </w:tcPr>
              <w:p w:rsidR="00D14E29" w:rsidRDefault="00D83979">
                <w:pPr>
                  <w:spacing w:line="276" w:lineRule="auto"/>
                  <w:rPr>
                    <w:rFonts w:ascii="Open Sans" w:eastAsia="Open Sans" w:hAnsi="Open Sans" w:cs="Open Sans"/>
                  </w:rPr>
                </w:pPr>
                <w:r>
                  <w:rPr>
                    <w:rFonts w:ascii="Open Sans" w:eastAsia="Open Sans" w:hAnsi="Open Sans" w:cs="Open Sans"/>
                  </w:rPr>
                  <w:t>5</w:t>
                </w:r>
              </w:p>
            </w:tc>
            <w:tc>
              <w:tcPr>
                <w:tcW w:w="1620" w:type="dxa"/>
              </w:tcPr>
              <w:p w:rsidR="00D14E29" w:rsidRDefault="00D83979">
                <w:pPr>
                  <w:spacing w:line="276" w:lineRule="auto"/>
                  <w:rPr>
                    <w:rFonts w:ascii="Open Sans" w:eastAsia="Open Sans" w:hAnsi="Open Sans" w:cs="Open Sans"/>
                  </w:rPr>
                </w:pPr>
                <w:r>
                  <w:rPr>
                    <w:rFonts w:ascii="Open Sans" w:eastAsia="Open Sans" w:hAnsi="Open Sans" w:cs="Open Sans"/>
                  </w:rPr>
                  <w:t>20</w:t>
                </w:r>
              </w:p>
            </w:tc>
          </w:tr>
          <w:tr w:rsidR="00D14E29">
            <w:trPr>
              <w:trHeight w:val="976"/>
            </w:trPr>
            <w:tc>
              <w:tcPr>
                <w:tcW w:w="5130" w:type="dxa"/>
              </w:tcPr>
              <w:p w:rsidR="00D14E29" w:rsidRDefault="00D83979">
                <w:pPr>
                  <w:spacing w:line="276" w:lineRule="auto"/>
                  <w:rPr>
                    <w:rFonts w:ascii="Open Sans" w:eastAsia="Open Sans" w:hAnsi="Open Sans" w:cs="Open Sans"/>
                  </w:rPr>
                </w:pPr>
                <w:r>
                  <w:rPr>
                    <w:rFonts w:ascii="Open Sans" w:eastAsia="Open Sans" w:hAnsi="Open Sans" w:cs="Open Sans"/>
                  </w:rPr>
                  <w:t>4. Planejamento de comunicação: serão avaliadas a previsão de verba ou ações presenciais e on-line garantindo a mobilização da comunidade a ser atingida pela atividade, bem como a valorização e ampla divulgação das atividades a serem realizadas.</w:t>
                </w:r>
              </w:p>
            </w:tc>
            <w:tc>
              <w:tcPr>
                <w:tcW w:w="1155" w:type="dxa"/>
              </w:tcPr>
              <w:p w:rsidR="00D14E29" w:rsidRDefault="00D83979">
                <w:pPr>
                  <w:spacing w:line="276" w:lineRule="auto"/>
                  <w:rPr>
                    <w:rFonts w:ascii="Open Sans" w:eastAsia="Open Sans" w:hAnsi="Open Sans" w:cs="Open Sans"/>
                  </w:rPr>
                </w:pPr>
                <w:r>
                  <w:rPr>
                    <w:rFonts w:ascii="Open Sans" w:eastAsia="Open Sans" w:hAnsi="Open Sans" w:cs="Open Sans"/>
                  </w:rPr>
                  <w:t>1</w:t>
                </w:r>
              </w:p>
            </w:tc>
            <w:tc>
              <w:tcPr>
                <w:tcW w:w="1140" w:type="dxa"/>
              </w:tcPr>
              <w:p w:rsidR="00D14E29" w:rsidRDefault="00D83979">
                <w:pPr>
                  <w:spacing w:line="276" w:lineRule="auto"/>
                  <w:rPr>
                    <w:rFonts w:ascii="Open Sans" w:eastAsia="Open Sans" w:hAnsi="Open Sans" w:cs="Open Sans"/>
                  </w:rPr>
                </w:pPr>
                <w:r>
                  <w:rPr>
                    <w:rFonts w:ascii="Open Sans" w:eastAsia="Open Sans" w:hAnsi="Open Sans" w:cs="Open Sans"/>
                  </w:rPr>
                  <w:t>5</w:t>
                </w:r>
              </w:p>
            </w:tc>
            <w:tc>
              <w:tcPr>
                <w:tcW w:w="1620" w:type="dxa"/>
              </w:tcPr>
              <w:p w:rsidR="00D14E29" w:rsidRDefault="00D83979">
                <w:pPr>
                  <w:spacing w:line="276" w:lineRule="auto"/>
                  <w:rPr>
                    <w:rFonts w:ascii="Open Sans" w:eastAsia="Open Sans" w:hAnsi="Open Sans" w:cs="Open Sans"/>
                  </w:rPr>
                </w:pPr>
                <w:r>
                  <w:rPr>
                    <w:rFonts w:ascii="Open Sans" w:eastAsia="Open Sans" w:hAnsi="Open Sans" w:cs="Open Sans"/>
                  </w:rPr>
                  <w:t>5</w:t>
                </w:r>
              </w:p>
            </w:tc>
          </w:tr>
          <w:tr w:rsidR="00D14E29">
            <w:trPr>
              <w:trHeight w:val="1515"/>
            </w:trPr>
            <w:tc>
              <w:tcPr>
                <w:tcW w:w="5130" w:type="dxa"/>
              </w:tcPr>
              <w:p w:rsidR="00D14E29" w:rsidRDefault="00D83979">
                <w:pPr>
                  <w:spacing w:line="276" w:lineRule="auto"/>
                  <w:rPr>
                    <w:rFonts w:ascii="Open Sans" w:eastAsia="Open Sans" w:hAnsi="Open Sans" w:cs="Open Sans"/>
                  </w:rPr>
                </w:pPr>
                <w:r>
                  <w:rPr>
                    <w:rFonts w:ascii="Open Sans" w:eastAsia="Open Sans" w:hAnsi="Open Sans" w:cs="Open Sans"/>
                  </w:rPr>
                  <w:t xml:space="preserve">5. </w:t>
                </w:r>
                <w:r>
                  <w:rPr>
                    <w:rFonts w:ascii="Open Sans" w:eastAsia="Open Sans" w:hAnsi="Open Sans" w:cs="Open Sans"/>
                  </w:rPr>
                  <w:t>Valor de referência: será avaliada a adequação da proposta orçamentária aos valores de mercado, o descritivo dos custos para execução das atividades previstas, a economicidade e vantajosidade financeira para a Administração, assegurando a qualidade técnica</w:t>
                </w:r>
                <w:r>
                  <w:rPr>
                    <w:rFonts w:ascii="Open Sans" w:eastAsia="Open Sans" w:hAnsi="Open Sans" w:cs="Open Sans"/>
                  </w:rPr>
                  <w:t xml:space="preserve"> e o cumprimento de todas as etapas de execução da parceria.</w:t>
                </w:r>
              </w:p>
            </w:tc>
            <w:tc>
              <w:tcPr>
                <w:tcW w:w="1155" w:type="dxa"/>
              </w:tcPr>
              <w:p w:rsidR="00D14E29" w:rsidRDefault="00D83979">
                <w:pPr>
                  <w:spacing w:line="276" w:lineRule="auto"/>
                  <w:rPr>
                    <w:rFonts w:ascii="Open Sans" w:eastAsia="Open Sans" w:hAnsi="Open Sans" w:cs="Open Sans"/>
                  </w:rPr>
                </w:pPr>
                <w:r>
                  <w:rPr>
                    <w:rFonts w:ascii="Open Sans" w:eastAsia="Open Sans" w:hAnsi="Open Sans" w:cs="Open Sans"/>
                  </w:rPr>
                  <w:t>2</w:t>
                </w:r>
              </w:p>
            </w:tc>
            <w:tc>
              <w:tcPr>
                <w:tcW w:w="1140" w:type="dxa"/>
              </w:tcPr>
              <w:p w:rsidR="00D14E29" w:rsidRDefault="00D83979">
                <w:pPr>
                  <w:spacing w:line="276" w:lineRule="auto"/>
                  <w:rPr>
                    <w:rFonts w:ascii="Open Sans" w:eastAsia="Open Sans" w:hAnsi="Open Sans" w:cs="Open Sans"/>
                  </w:rPr>
                </w:pPr>
                <w:r>
                  <w:rPr>
                    <w:rFonts w:ascii="Open Sans" w:eastAsia="Open Sans" w:hAnsi="Open Sans" w:cs="Open Sans"/>
                  </w:rPr>
                  <w:t>5</w:t>
                </w:r>
              </w:p>
            </w:tc>
            <w:tc>
              <w:tcPr>
                <w:tcW w:w="1620" w:type="dxa"/>
              </w:tcPr>
              <w:p w:rsidR="00D14E29" w:rsidRDefault="00D83979">
                <w:pPr>
                  <w:spacing w:line="276" w:lineRule="auto"/>
                  <w:rPr>
                    <w:rFonts w:ascii="Open Sans" w:eastAsia="Open Sans" w:hAnsi="Open Sans" w:cs="Open Sans"/>
                  </w:rPr>
                </w:pPr>
                <w:r>
                  <w:rPr>
                    <w:rFonts w:ascii="Open Sans" w:eastAsia="Open Sans" w:hAnsi="Open Sans" w:cs="Open Sans"/>
                  </w:rPr>
                  <w:t>10</w:t>
                </w:r>
              </w:p>
            </w:tc>
          </w:tr>
          <w:tr w:rsidR="00D14E29">
            <w:trPr>
              <w:trHeight w:val="344"/>
            </w:trPr>
            <w:tc>
              <w:tcPr>
                <w:tcW w:w="7425" w:type="dxa"/>
                <w:gridSpan w:val="3"/>
              </w:tcPr>
              <w:p w:rsidR="00D14E29" w:rsidRDefault="00D83979">
                <w:pPr>
                  <w:spacing w:line="276" w:lineRule="auto"/>
                  <w:rPr>
                    <w:rFonts w:ascii="Open Sans" w:eastAsia="Open Sans" w:hAnsi="Open Sans" w:cs="Open Sans"/>
                  </w:rPr>
                </w:pPr>
                <w:r>
                  <w:rPr>
                    <w:rFonts w:ascii="Open Sans" w:eastAsia="Open Sans" w:hAnsi="Open Sans" w:cs="Open Sans"/>
                  </w:rPr>
                  <w:t>Pontuação máxima total</w:t>
                </w:r>
              </w:p>
            </w:tc>
            <w:tc>
              <w:tcPr>
                <w:tcW w:w="1620" w:type="dxa"/>
              </w:tcPr>
              <w:p w:rsidR="00D14E29" w:rsidRDefault="00D83979">
                <w:pPr>
                  <w:spacing w:line="276" w:lineRule="auto"/>
                  <w:rPr>
                    <w:rFonts w:ascii="Open Sans" w:eastAsia="Open Sans" w:hAnsi="Open Sans" w:cs="Open Sans"/>
                  </w:rPr>
                </w:pPr>
                <w:r>
                  <w:rPr>
                    <w:rFonts w:ascii="Open Sans" w:eastAsia="Open Sans" w:hAnsi="Open Sans" w:cs="Open Sans"/>
                  </w:rPr>
                  <w:t>55</w:t>
                </w:r>
              </w:p>
            </w:tc>
          </w:tr>
          <w:tr w:rsidR="00D14E29">
            <w:trPr>
              <w:trHeight w:val="344"/>
            </w:trPr>
            <w:tc>
              <w:tcPr>
                <w:tcW w:w="5130" w:type="dxa"/>
                <w:shd w:val="clear" w:color="auto" w:fill="D9D9D9"/>
              </w:tcPr>
              <w:p w:rsidR="00D14E29" w:rsidRDefault="00D83979">
                <w:pPr>
                  <w:spacing w:line="276" w:lineRule="auto"/>
                  <w:rPr>
                    <w:rFonts w:ascii="Open Sans" w:eastAsia="Open Sans" w:hAnsi="Open Sans" w:cs="Open Sans"/>
                  </w:rPr>
                </w:pPr>
                <w:r>
                  <w:rPr>
                    <w:rFonts w:ascii="Open Sans" w:eastAsia="Open Sans" w:hAnsi="Open Sans" w:cs="Open Sans"/>
                  </w:rPr>
                  <w:t>B - Capacidade técnica e operacional</w:t>
                </w:r>
              </w:p>
            </w:tc>
            <w:tc>
              <w:tcPr>
                <w:tcW w:w="1155" w:type="dxa"/>
                <w:shd w:val="clear" w:color="auto" w:fill="D9D9D9"/>
              </w:tcPr>
              <w:p w:rsidR="00D14E29" w:rsidRDefault="00D83979">
                <w:pPr>
                  <w:spacing w:line="276" w:lineRule="auto"/>
                  <w:rPr>
                    <w:rFonts w:ascii="Open Sans" w:eastAsia="Open Sans" w:hAnsi="Open Sans" w:cs="Open Sans"/>
                  </w:rPr>
                </w:pPr>
                <w:r>
                  <w:rPr>
                    <w:rFonts w:ascii="Open Sans" w:eastAsia="Open Sans" w:hAnsi="Open Sans" w:cs="Open Sans"/>
                  </w:rPr>
                  <w:t>PESO</w:t>
                </w:r>
              </w:p>
            </w:tc>
            <w:tc>
              <w:tcPr>
                <w:tcW w:w="1140" w:type="dxa"/>
                <w:shd w:val="clear" w:color="auto" w:fill="D9D9D9"/>
              </w:tcPr>
              <w:p w:rsidR="00D14E29" w:rsidRDefault="00D83979">
                <w:pPr>
                  <w:spacing w:line="276" w:lineRule="auto"/>
                  <w:rPr>
                    <w:rFonts w:ascii="Open Sans" w:eastAsia="Open Sans" w:hAnsi="Open Sans" w:cs="Open Sans"/>
                  </w:rPr>
                </w:pPr>
                <w:r>
                  <w:rPr>
                    <w:rFonts w:ascii="Open Sans" w:eastAsia="Open Sans" w:hAnsi="Open Sans" w:cs="Open Sans"/>
                  </w:rPr>
                  <w:t>NOTA MÁXIMA</w:t>
                </w:r>
              </w:p>
            </w:tc>
            <w:tc>
              <w:tcPr>
                <w:tcW w:w="1620" w:type="dxa"/>
                <w:shd w:val="clear" w:color="auto" w:fill="D9D9D9"/>
              </w:tcPr>
              <w:p w:rsidR="00D14E29" w:rsidRDefault="00D83979">
                <w:pPr>
                  <w:spacing w:line="276" w:lineRule="auto"/>
                  <w:rPr>
                    <w:rFonts w:ascii="Open Sans" w:eastAsia="Open Sans" w:hAnsi="Open Sans" w:cs="Open Sans"/>
                  </w:rPr>
                </w:pPr>
                <w:r>
                  <w:rPr>
                    <w:rFonts w:ascii="Open Sans" w:eastAsia="Open Sans" w:hAnsi="Open Sans" w:cs="Open Sans"/>
                  </w:rPr>
                  <w:t>PONTOS</w:t>
                </w:r>
              </w:p>
            </w:tc>
          </w:tr>
          <w:tr w:rsidR="00D14E29">
            <w:trPr>
              <w:trHeight w:val="344"/>
            </w:trPr>
            <w:tc>
              <w:tcPr>
                <w:tcW w:w="5130" w:type="dxa"/>
                <w:tcBorders>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1. Tempo de atuação da entidade: será avaliada o período da OSC na gestão de equipamentos, programas e projetos culturais relacionados com o ANEXO Nota Técnica ou de natureza semelhante.</w:t>
                </w:r>
              </w:p>
            </w:tc>
            <w:tc>
              <w:tcPr>
                <w:tcW w:w="1155" w:type="dxa"/>
                <w:tcBorders>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2</w:t>
                </w:r>
              </w:p>
            </w:tc>
            <w:tc>
              <w:tcPr>
                <w:tcW w:w="1140" w:type="dxa"/>
                <w:tcBorders>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5</w:t>
                </w:r>
              </w:p>
            </w:tc>
            <w:tc>
              <w:tcPr>
                <w:tcW w:w="1620" w:type="dxa"/>
                <w:tcBorders>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10</w:t>
                </w:r>
              </w:p>
            </w:tc>
          </w:tr>
          <w:tr w:rsidR="00D14E29">
            <w:trPr>
              <w:trHeight w:val="344"/>
            </w:trPr>
            <w:tc>
              <w:tcPr>
                <w:tcW w:w="5130"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2. Experiência e conhecimento: será avaliada a experiência da</w:t>
                </w:r>
                <w:r>
                  <w:rPr>
                    <w:rFonts w:ascii="Open Sans" w:eastAsia="Open Sans" w:hAnsi="Open Sans" w:cs="Open Sans"/>
                  </w:rPr>
                  <w:t xml:space="preserve"> OSC na gestão de equipamentos, programas e projetos culturais relacionados com o ANEXO Nota Técnica ou de natureza semelhante nos últimos 5 (cinco) anos.</w:t>
                </w:r>
              </w:p>
            </w:tc>
            <w:tc>
              <w:tcPr>
                <w:tcW w:w="1155"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3</w:t>
                </w:r>
              </w:p>
            </w:tc>
            <w:tc>
              <w:tcPr>
                <w:tcW w:w="1140"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5</w:t>
                </w:r>
              </w:p>
            </w:tc>
            <w:tc>
              <w:tcPr>
                <w:tcW w:w="1620"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15</w:t>
                </w:r>
              </w:p>
            </w:tc>
          </w:tr>
          <w:tr w:rsidR="00D14E29">
            <w:trPr>
              <w:trHeight w:val="344"/>
            </w:trPr>
            <w:tc>
              <w:tcPr>
                <w:tcW w:w="7425" w:type="dxa"/>
                <w:gridSpan w:val="3"/>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Pontuação máxima total (B)</w:t>
                </w:r>
              </w:p>
            </w:tc>
            <w:tc>
              <w:tcPr>
                <w:tcW w:w="1620"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25</w:t>
                </w:r>
              </w:p>
            </w:tc>
          </w:tr>
          <w:tr w:rsidR="00D14E29">
            <w:trPr>
              <w:trHeight w:val="344"/>
            </w:trPr>
            <w:tc>
              <w:tcPr>
                <w:tcW w:w="5130" w:type="dxa"/>
                <w:tcBorders>
                  <w:top w:val="single" w:sz="8" w:space="0" w:color="000000"/>
                  <w:left w:val="single" w:sz="8" w:space="0" w:color="000000"/>
                  <w:bottom w:val="single" w:sz="8" w:space="0" w:color="000000"/>
                  <w:right w:val="single" w:sz="8" w:space="0" w:color="000000"/>
                </w:tcBorders>
                <w:shd w:val="clear" w:color="auto" w:fill="D9D9D9"/>
              </w:tcPr>
              <w:p w:rsidR="00D14E29" w:rsidRDefault="00D83979">
                <w:pPr>
                  <w:spacing w:line="276" w:lineRule="auto"/>
                  <w:rPr>
                    <w:rFonts w:ascii="Open Sans" w:eastAsia="Open Sans" w:hAnsi="Open Sans" w:cs="Open Sans"/>
                  </w:rPr>
                </w:pPr>
                <w:r>
                  <w:rPr>
                    <w:rFonts w:ascii="Open Sans" w:eastAsia="Open Sans" w:hAnsi="Open Sans" w:cs="Open Sans"/>
                  </w:rPr>
                  <w:t>C - Acessibilidade e ações afirmativas</w:t>
                </w:r>
              </w:p>
            </w:tc>
            <w:tc>
              <w:tcPr>
                <w:tcW w:w="1155" w:type="dxa"/>
                <w:tcBorders>
                  <w:top w:val="single" w:sz="8" w:space="0" w:color="000000"/>
                  <w:left w:val="single" w:sz="8" w:space="0" w:color="000000"/>
                  <w:bottom w:val="single" w:sz="8" w:space="0" w:color="000000"/>
                  <w:right w:val="single" w:sz="8" w:space="0" w:color="000000"/>
                </w:tcBorders>
                <w:shd w:val="clear" w:color="auto" w:fill="D9D9D9"/>
              </w:tcPr>
              <w:p w:rsidR="00D14E29" w:rsidRDefault="00D83979">
                <w:pPr>
                  <w:spacing w:line="276" w:lineRule="auto"/>
                  <w:rPr>
                    <w:rFonts w:ascii="Open Sans" w:eastAsia="Open Sans" w:hAnsi="Open Sans" w:cs="Open Sans"/>
                  </w:rPr>
                </w:pPr>
                <w:r>
                  <w:rPr>
                    <w:rFonts w:ascii="Open Sans" w:eastAsia="Open Sans" w:hAnsi="Open Sans" w:cs="Open Sans"/>
                  </w:rPr>
                  <w:t>PESO</w:t>
                </w:r>
              </w:p>
            </w:tc>
            <w:tc>
              <w:tcPr>
                <w:tcW w:w="1140" w:type="dxa"/>
                <w:tcBorders>
                  <w:top w:val="single" w:sz="8" w:space="0" w:color="000000"/>
                  <w:left w:val="single" w:sz="8" w:space="0" w:color="000000"/>
                  <w:bottom w:val="single" w:sz="8" w:space="0" w:color="000000"/>
                  <w:right w:val="single" w:sz="8" w:space="0" w:color="000000"/>
                </w:tcBorders>
                <w:shd w:val="clear" w:color="auto" w:fill="D9D9D9"/>
              </w:tcPr>
              <w:p w:rsidR="00D14E29" w:rsidRDefault="00D83979">
                <w:pPr>
                  <w:spacing w:line="276" w:lineRule="auto"/>
                  <w:rPr>
                    <w:rFonts w:ascii="Open Sans" w:eastAsia="Open Sans" w:hAnsi="Open Sans" w:cs="Open Sans"/>
                  </w:rPr>
                </w:pPr>
                <w:r>
                  <w:rPr>
                    <w:rFonts w:ascii="Open Sans" w:eastAsia="Open Sans" w:hAnsi="Open Sans" w:cs="Open Sans"/>
                  </w:rPr>
                  <w:t>NOTA MÁXIMA</w:t>
                </w: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rsidR="00D14E29" w:rsidRDefault="00D83979">
                <w:pPr>
                  <w:spacing w:line="276" w:lineRule="auto"/>
                  <w:rPr>
                    <w:rFonts w:ascii="Open Sans" w:eastAsia="Open Sans" w:hAnsi="Open Sans" w:cs="Open Sans"/>
                  </w:rPr>
                </w:pPr>
                <w:r>
                  <w:rPr>
                    <w:rFonts w:ascii="Open Sans" w:eastAsia="Open Sans" w:hAnsi="Open Sans" w:cs="Open Sans"/>
                  </w:rPr>
                  <w:t>PONTOS</w:t>
                </w:r>
              </w:p>
            </w:tc>
          </w:tr>
          <w:tr w:rsidR="00D14E29">
            <w:trPr>
              <w:trHeight w:val="344"/>
            </w:trPr>
            <w:tc>
              <w:tcPr>
                <w:tcW w:w="5130"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Serão avaliadas as propostas da organização quanto às medidas de Acessibilidade e Ações Afirmativas</w:t>
                </w:r>
              </w:p>
            </w:tc>
            <w:tc>
              <w:tcPr>
                <w:tcW w:w="1155"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4</w:t>
                </w:r>
              </w:p>
            </w:tc>
            <w:tc>
              <w:tcPr>
                <w:tcW w:w="1140"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5</w:t>
                </w:r>
              </w:p>
            </w:tc>
            <w:tc>
              <w:tcPr>
                <w:tcW w:w="1620"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20</w:t>
                </w:r>
              </w:p>
            </w:tc>
          </w:tr>
          <w:tr w:rsidR="00D14E29">
            <w:trPr>
              <w:trHeight w:val="344"/>
            </w:trPr>
            <w:tc>
              <w:tcPr>
                <w:tcW w:w="5130"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Pontuação máxima total (C)</w:t>
                </w:r>
              </w:p>
            </w:tc>
            <w:tc>
              <w:tcPr>
                <w:tcW w:w="1155" w:type="dxa"/>
                <w:tcBorders>
                  <w:top w:val="single" w:sz="8" w:space="0" w:color="000000"/>
                  <w:left w:val="single" w:sz="8" w:space="0" w:color="000000"/>
                  <w:bottom w:val="single" w:sz="8" w:space="0" w:color="000000"/>
                  <w:right w:val="single" w:sz="8" w:space="0" w:color="000000"/>
                </w:tcBorders>
              </w:tcPr>
              <w:p w:rsidR="00D14E29" w:rsidRDefault="00D14E29">
                <w:pPr>
                  <w:spacing w:line="276" w:lineRule="auto"/>
                  <w:rPr>
                    <w:rFonts w:ascii="Open Sans" w:eastAsia="Open Sans" w:hAnsi="Open Sans" w:cs="Open Sans"/>
                  </w:rPr>
                </w:pPr>
              </w:p>
            </w:tc>
            <w:tc>
              <w:tcPr>
                <w:tcW w:w="1140" w:type="dxa"/>
                <w:tcBorders>
                  <w:top w:val="single" w:sz="8" w:space="0" w:color="000000"/>
                  <w:left w:val="single" w:sz="8" w:space="0" w:color="000000"/>
                  <w:bottom w:val="single" w:sz="8" w:space="0" w:color="000000"/>
                  <w:right w:val="single" w:sz="8" w:space="0" w:color="000000"/>
                </w:tcBorders>
              </w:tcPr>
              <w:p w:rsidR="00D14E29" w:rsidRDefault="00D14E29">
                <w:pPr>
                  <w:spacing w:line="276" w:lineRule="auto"/>
                  <w:rPr>
                    <w:rFonts w:ascii="Open Sans" w:eastAsia="Open Sans" w:hAnsi="Open Sans" w:cs="Open Sans"/>
                  </w:rPr>
                </w:pPr>
              </w:p>
            </w:tc>
            <w:tc>
              <w:tcPr>
                <w:tcW w:w="1620"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20</w:t>
                </w:r>
              </w:p>
            </w:tc>
          </w:tr>
          <w:tr w:rsidR="00D14E29">
            <w:trPr>
              <w:trHeight w:val="344"/>
            </w:trPr>
            <w:tc>
              <w:tcPr>
                <w:tcW w:w="7425" w:type="dxa"/>
                <w:gridSpan w:val="3"/>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PONTUAÇÃO FINAL (A + B + C)</w:t>
                </w:r>
              </w:p>
            </w:tc>
            <w:tc>
              <w:tcPr>
                <w:tcW w:w="1620" w:type="dxa"/>
                <w:tcBorders>
                  <w:top w:val="single" w:sz="8" w:space="0" w:color="000000"/>
                  <w:left w:val="single" w:sz="8" w:space="0" w:color="000000"/>
                  <w:bottom w:val="single" w:sz="8" w:space="0" w:color="000000"/>
                  <w:right w:val="single" w:sz="8" w:space="0" w:color="000000"/>
                </w:tcBorders>
              </w:tcPr>
              <w:p w:rsidR="00D14E29" w:rsidRDefault="00D83979">
                <w:pPr>
                  <w:spacing w:line="276" w:lineRule="auto"/>
                  <w:rPr>
                    <w:rFonts w:ascii="Open Sans" w:eastAsia="Open Sans" w:hAnsi="Open Sans" w:cs="Open Sans"/>
                  </w:rPr>
                </w:pPr>
                <w:r>
                  <w:rPr>
                    <w:rFonts w:ascii="Open Sans" w:eastAsia="Open Sans" w:hAnsi="Open Sans" w:cs="Open Sans"/>
                  </w:rPr>
                  <w:t>100</w:t>
                </w:r>
              </w:p>
            </w:tc>
          </w:tr>
        </w:tbl>
      </w:sdtContent>
    </w:sdt>
    <w:p w:rsidR="00D14E29" w:rsidRDefault="00D14E29">
      <w:pPr>
        <w:tabs>
          <w:tab w:val="left" w:pos="1156"/>
        </w:tabs>
        <w:spacing w:after="0" w:line="276" w:lineRule="auto"/>
        <w:rPr>
          <w:rFonts w:ascii="Open Sans" w:eastAsia="Open Sans" w:hAnsi="Open Sans" w:cs="Open Sans"/>
        </w:rPr>
      </w:pPr>
    </w:p>
    <w:p w:rsidR="00D14E29" w:rsidRDefault="00D83979">
      <w:pPr>
        <w:tabs>
          <w:tab w:val="left" w:pos="1156"/>
        </w:tabs>
        <w:spacing w:after="0" w:line="276" w:lineRule="auto"/>
        <w:rPr>
          <w:rFonts w:ascii="Open Sans" w:eastAsia="Open Sans" w:hAnsi="Open Sans" w:cs="Open Sans"/>
        </w:rPr>
      </w:pPr>
      <w:r>
        <w:rPr>
          <w:rFonts w:ascii="Open Sans" w:eastAsia="Open Sans" w:hAnsi="Open Sans" w:cs="Open Sans"/>
        </w:rPr>
        <w:t>O julgamento do item A – ARTICULAÇÃO E CONSISTÊNCIA DO PROJETO será feito conforme a documentação apresentada pela proponente obedecendo aos seguintes critérios:</w:t>
      </w:r>
    </w:p>
    <w:p w:rsidR="00D14E29" w:rsidRDefault="00D14E29">
      <w:pPr>
        <w:tabs>
          <w:tab w:val="left" w:pos="1156"/>
        </w:tabs>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Tabela 2 – Critérios de avaliação do item A</w:t>
      </w:r>
    </w:p>
    <w:p w:rsidR="00D14E29" w:rsidRDefault="00D14E29">
      <w:pPr>
        <w:spacing w:after="0" w:line="276" w:lineRule="auto"/>
        <w:rPr>
          <w:rFonts w:ascii="Open Sans" w:eastAsia="Open Sans" w:hAnsi="Open Sans" w:cs="Open Sans"/>
        </w:rPr>
      </w:pPr>
    </w:p>
    <w:sdt>
      <w:sdtPr>
        <w:tag w:val="goog_rdk_3"/>
        <w:id w:val="2065602719"/>
        <w:lock w:val="contentLocked"/>
      </w:sdtPr>
      <w:sdtEndPr/>
      <w:sdtContent>
        <w:tbl>
          <w:tblPr>
            <w:tblStyle w:val="afff"/>
            <w:tblW w:w="9015" w:type="dxa"/>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60"/>
            <w:gridCol w:w="855"/>
          </w:tblGrid>
          <w:tr w:rsidR="00D14E29">
            <w:trPr>
              <w:trHeight w:val="381"/>
            </w:trPr>
            <w:tc>
              <w:tcPr>
                <w:tcW w:w="8160" w:type="dxa"/>
              </w:tcPr>
              <w:p w:rsidR="00D14E29" w:rsidRDefault="00D83979">
                <w:pPr>
                  <w:spacing w:line="276" w:lineRule="auto"/>
                  <w:rPr>
                    <w:rFonts w:ascii="Open Sans" w:eastAsia="Open Sans" w:hAnsi="Open Sans" w:cs="Open Sans"/>
                  </w:rPr>
                </w:pPr>
                <w:r>
                  <w:rPr>
                    <w:rFonts w:ascii="Open Sans" w:eastAsia="Open Sans" w:hAnsi="Open Sans" w:cs="Open Sans"/>
                  </w:rPr>
                  <w:t>Dosimetria do critério A</w:t>
                </w:r>
              </w:p>
            </w:tc>
            <w:tc>
              <w:tcPr>
                <w:tcW w:w="855" w:type="dxa"/>
              </w:tcPr>
              <w:p w:rsidR="00D14E29" w:rsidRDefault="00D83979">
                <w:pPr>
                  <w:spacing w:line="276" w:lineRule="auto"/>
                  <w:rPr>
                    <w:rFonts w:ascii="Open Sans" w:eastAsia="Open Sans" w:hAnsi="Open Sans" w:cs="Open Sans"/>
                  </w:rPr>
                </w:pPr>
                <w:r>
                  <w:rPr>
                    <w:rFonts w:ascii="Open Sans" w:eastAsia="Open Sans" w:hAnsi="Open Sans" w:cs="Open Sans"/>
                  </w:rPr>
                  <w:t>Nota</w:t>
                </w:r>
              </w:p>
            </w:tc>
          </w:tr>
          <w:tr w:rsidR="00D14E29">
            <w:trPr>
              <w:trHeight w:val="378"/>
            </w:trPr>
            <w:tc>
              <w:tcPr>
                <w:tcW w:w="8160" w:type="dxa"/>
              </w:tcPr>
              <w:p w:rsidR="00D14E29" w:rsidRDefault="00D83979">
                <w:pPr>
                  <w:spacing w:line="276" w:lineRule="auto"/>
                  <w:rPr>
                    <w:rFonts w:ascii="Open Sans" w:eastAsia="Open Sans" w:hAnsi="Open Sans" w:cs="Open Sans"/>
                  </w:rPr>
                </w:pPr>
                <w:r>
                  <w:rPr>
                    <w:rFonts w:ascii="Open Sans" w:eastAsia="Open Sans" w:hAnsi="Open Sans" w:cs="Open Sans"/>
                  </w:rPr>
                  <w:t>Grau insatisfatório de atendimento ao objeto deste chamamento</w:t>
                </w:r>
              </w:p>
            </w:tc>
            <w:tc>
              <w:tcPr>
                <w:tcW w:w="855" w:type="dxa"/>
              </w:tcPr>
              <w:p w:rsidR="00D14E29" w:rsidRDefault="00D83979">
                <w:pPr>
                  <w:spacing w:line="276" w:lineRule="auto"/>
                  <w:rPr>
                    <w:rFonts w:ascii="Open Sans" w:eastAsia="Open Sans" w:hAnsi="Open Sans" w:cs="Open Sans"/>
                  </w:rPr>
                </w:pPr>
                <w:r>
                  <w:rPr>
                    <w:rFonts w:ascii="Open Sans" w:eastAsia="Open Sans" w:hAnsi="Open Sans" w:cs="Open Sans"/>
                  </w:rPr>
                  <w:t>0</w:t>
                </w:r>
              </w:p>
            </w:tc>
          </w:tr>
          <w:tr w:rsidR="00D14E29">
            <w:trPr>
              <w:trHeight w:val="378"/>
            </w:trPr>
            <w:tc>
              <w:tcPr>
                <w:tcW w:w="8160" w:type="dxa"/>
              </w:tcPr>
              <w:p w:rsidR="00D14E29" w:rsidRDefault="00D83979">
                <w:pPr>
                  <w:spacing w:line="276" w:lineRule="auto"/>
                  <w:rPr>
                    <w:rFonts w:ascii="Open Sans" w:eastAsia="Open Sans" w:hAnsi="Open Sans" w:cs="Open Sans"/>
                  </w:rPr>
                </w:pPr>
                <w:r>
                  <w:rPr>
                    <w:rFonts w:ascii="Open Sans" w:eastAsia="Open Sans" w:hAnsi="Open Sans" w:cs="Open Sans"/>
                  </w:rPr>
                  <w:t>Grau parcial de atendimento ao objeto deste chamamento</w:t>
                </w:r>
              </w:p>
            </w:tc>
            <w:tc>
              <w:tcPr>
                <w:tcW w:w="855" w:type="dxa"/>
              </w:tcPr>
              <w:p w:rsidR="00D14E29" w:rsidRDefault="00D83979">
                <w:pPr>
                  <w:spacing w:line="276" w:lineRule="auto"/>
                  <w:rPr>
                    <w:rFonts w:ascii="Open Sans" w:eastAsia="Open Sans" w:hAnsi="Open Sans" w:cs="Open Sans"/>
                  </w:rPr>
                </w:pPr>
                <w:r>
                  <w:rPr>
                    <w:rFonts w:ascii="Open Sans" w:eastAsia="Open Sans" w:hAnsi="Open Sans" w:cs="Open Sans"/>
                  </w:rPr>
                  <w:t>2,5</w:t>
                </w:r>
              </w:p>
            </w:tc>
          </w:tr>
          <w:tr w:rsidR="00D14E29">
            <w:trPr>
              <w:trHeight w:val="381"/>
            </w:trPr>
            <w:tc>
              <w:tcPr>
                <w:tcW w:w="8160" w:type="dxa"/>
              </w:tcPr>
              <w:p w:rsidR="00D14E29" w:rsidRDefault="00D83979">
                <w:pPr>
                  <w:spacing w:line="276" w:lineRule="auto"/>
                  <w:rPr>
                    <w:rFonts w:ascii="Open Sans" w:eastAsia="Open Sans" w:hAnsi="Open Sans" w:cs="Open Sans"/>
                  </w:rPr>
                </w:pPr>
                <w:r>
                  <w:rPr>
                    <w:rFonts w:ascii="Open Sans" w:eastAsia="Open Sans" w:hAnsi="Open Sans" w:cs="Open Sans"/>
                  </w:rPr>
                  <w:t>Grau pleno de atendimento ao objeto deste chamamento</w:t>
                </w:r>
              </w:p>
            </w:tc>
            <w:tc>
              <w:tcPr>
                <w:tcW w:w="855" w:type="dxa"/>
              </w:tcPr>
              <w:p w:rsidR="00D14E29" w:rsidRDefault="00D83979">
                <w:pPr>
                  <w:spacing w:line="276" w:lineRule="auto"/>
                  <w:rPr>
                    <w:rFonts w:ascii="Open Sans" w:eastAsia="Open Sans" w:hAnsi="Open Sans" w:cs="Open Sans"/>
                  </w:rPr>
                </w:pPr>
                <w:r>
                  <w:rPr>
                    <w:rFonts w:ascii="Open Sans" w:eastAsia="Open Sans" w:hAnsi="Open Sans" w:cs="Open Sans"/>
                  </w:rPr>
                  <w:t>5</w:t>
                </w:r>
              </w:p>
            </w:tc>
          </w:tr>
        </w:tbl>
      </w:sdtContent>
    </w:sdt>
    <w:p w:rsidR="00D14E29" w:rsidRDefault="00D14E29">
      <w:pPr>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O julgamento do item B – CAPACIDADE TÉCNICA E OPERACIONAL será mediante apresentação de atestado (s), instrumentos de parceria e congêneres firmados com parceiros públicos ou privados, relatórios de atividades, publicações e/ou Prêmios de relevância recebi</w:t>
      </w:r>
      <w:r>
        <w:rPr>
          <w:rFonts w:ascii="Open Sans" w:eastAsia="Open Sans" w:hAnsi="Open Sans" w:cs="Open Sans"/>
        </w:rPr>
        <w:t xml:space="preserve">dos que indiquem o objeto, prazo de vigência, metas e recursos envolvidos, contendo pelo menos uma atividade por ano. </w:t>
      </w:r>
    </w:p>
    <w:p w:rsidR="00D14E29" w:rsidRDefault="00D14E29">
      <w:pPr>
        <w:tabs>
          <w:tab w:val="left" w:pos="1173"/>
        </w:tabs>
        <w:spacing w:after="0" w:line="276" w:lineRule="auto"/>
        <w:rPr>
          <w:rFonts w:ascii="Open Sans" w:eastAsia="Open Sans" w:hAnsi="Open Sans" w:cs="Open Sans"/>
        </w:rPr>
      </w:pPr>
    </w:p>
    <w:p w:rsidR="00D14E29" w:rsidRDefault="00D83979">
      <w:pPr>
        <w:tabs>
          <w:tab w:val="left" w:pos="1173"/>
        </w:tabs>
        <w:spacing w:after="0" w:line="276" w:lineRule="auto"/>
        <w:rPr>
          <w:rFonts w:ascii="Open Sans" w:eastAsia="Open Sans" w:hAnsi="Open Sans" w:cs="Open Sans"/>
        </w:rPr>
      </w:pPr>
      <w:r>
        <w:rPr>
          <w:rFonts w:ascii="Open Sans" w:eastAsia="Open Sans" w:hAnsi="Open Sans" w:cs="Open Sans"/>
        </w:rPr>
        <w:t>O julgamento obedecerá aos seguintes critérios:</w:t>
      </w:r>
    </w:p>
    <w:p w:rsidR="00D14E29" w:rsidRDefault="00D14E29">
      <w:pPr>
        <w:tabs>
          <w:tab w:val="left" w:pos="1173"/>
        </w:tabs>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Tabela 3 – Critérios de avaliação item B</w:t>
      </w:r>
    </w:p>
    <w:p w:rsidR="00D14E29" w:rsidRDefault="00D14E29">
      <w:pPr>
        <w:spacing w:after="0" w:line="276" w:lineRule="auto"/>
        <w:rPr>
          <w:rFonts w:ascii="Open Sans" w:eastAsia="Open Sans" w:hAnsi="Open Sans" w:cs="Open Sans"/>
        </w:rPr>
      </w:pPr>
    </w:p>
    <w:sdt>
      <w:sdtPr>
        <w:tag w:val="goog_rdk_4"/>
        <w:id w:val="1624955927"/>
        <w:lock w:val="contentLocked"/>
      </w:sdtPr>
      <w:sdtEndPr/>
      <w:sdtContent>
        <w:tbl>
          <w:tblPr>
            <w:tblStyle w:val="afff0"/>
            <w:tblW w:w="8970" w:type="dxa"/>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90"/>
            <w:gridCol w:w="780"/>
          </w:tblGrid>
          <w:tr w:rsidR="00D14E29">
            <w:trPr>
              <w:trHeight w:val="378"/>
              <w:tblHeader/>
            </w:trPr>
            <w:tc>
              <w:tcPr>
                <w:tcW w:w="8190" w:type="dxa"/>
              </w:tcPr>
              <w:p w:rsidR="00D14E29" w:rsidRDefault="00D83979">
                <w:pPr>
                  <w:spacing w:line="276" w:lineRule="auto"/>
                  <w:rPr>
                    <w:rFonts w:ascii="Open Sans" w:eastAsia="Open Sans" w:hAnsi="Open Sans" w:cs="Open Sans"/>
                  </w:rPr>
                </w:pPr>
                <w:r>
                  <w:rPr>
                    <w:rFonts w:ascii="Open Sans" w:eastAsia="Open Sans" w:hAnsi="Open Sans" w:cs="Open Sans"/>
                  </w:rPr>
                  <w:t>1. Tempo de atuação da entidade na promoção d</w:t>
                </w:r>
                <w:r>
                  <w:rPr>
                    <w:rFonts w:ascii="Open Sans" w:eastAsia="Open Sans" w:hAnsi="Open Sans" w:cs="Open Sans"/>
                  </w:rPr>
                  <w:t>e ações culturais</w:t>
                </w:r>
              </w:p>
            </w:tc>
            <w:tc>
              <w:tcPr>
                <w:tcW w:w="780" w:type="dxa"/>
              </w:tcPr>
              <w:p w:rsidR="00D14E29" w:rsidRDefault="00D83979">
                <w:pPr>
                  <w:spacing w:line="276" w:lineRule="auto"/>
                  <w:rPr>
                    <w:rFonts w:ascii="Open Sans" w:eastAsia="Open Sans" w:hAnsi="Open Sans" w:cs="Open Sans"/>
                  </w:rPr>
                </w:pPr>
                <w:r>
                  <w:rPr>
                    <w:rFonts w:ascii="Open Sans" w:eastAsia="Open Sans" w:hAnsi="Open Sans" w:cs="Open Sans"/>
                  </w:rPr>
                  <w:t>Nota</w:t>
                </w:r>
              </w:p>
            </w:tc>
          </w:tr>
          <w:tr w:rsidR="00D14E29">
            <w:trPr>
              <w:trHeight w:val="378"/>
              <w:tblHeader/>
            </w:trPr>
            <w:tc>
              <w:tcPr>
                <w:tcW w:w="8190" w:type="dxa"/>
              </w:tcPr>
              <w:p w:rsidR="00D14E29" w:rsidRDefault="00D83979">
                <w:pPr>
                  <w:spacing w:line="276" w:lineRule="auto"/>
                  <w:rPr>
                    <w:rFonts w:ascii="Open Sans" w:eastAsia="Open Sans" w:hAnsi="Open Sans" w:cs="Open Sans"/>
                  </w:rPr>
                </w:pPr>
                <w:r>
                  <w:rPr>
                    <w:rFonts w:ascii="Open Sans" w:eastAsia="Open Sans" w:hAnsi="Open Sans" w:cs="Open Sans"/>
                  </w:rPr>
                  <w:t>Menos de 3 anos</w:t>
                </w:r>
              </w:p>
            </w:tc>
            <w:tc>
              <w:tcPr>
                <w:tcW w:w="780" w:type="dxa"/>
              </w:tcPr>
              <w:p w:rsidR="00D14E29" w:rsidRDefault="00D83979">
                <w:pPr>
                  <w:spacing w:line="276" w:lineRule="auto"/>
                  <w:rPr>
                    <w:rFonts w:ascii="Open Sans" w:eastAsia="Open Sans" w:hAnsi="Open Sans" w:cs="Open Sans"/>
                  </w:rPr>
                </w:pPr>
                <w:r>
                  <w:rPr>
                    <w:rFonts w:ascii="Open Sans" w:eastAsia="Open Sans" w:hAnsi="Open Sans" w:cs="Open Sans"/>
                  </w:rPr>
                  <w:t>2</w:t>
                </w:r>
              </w:p>
            </w:tc>
          </w:tr>
          <w:tr w:rsidR="00D14E29">
            <w:trPr>
              <w:trHeight w:val="360"/>
              <w:tblHeader/>
            </w:trPr>
            <w:tc>
              <w:tcPr>
                <w:tcW w:w="8190" w:type="dxa"/>
              </w:tcPr>
              <w:p w:rsidR="00D14E29" w:rsidRDefault="00D83979">
                <w:pPr>
                  <w:spacing w:line="276" w:lineRule="auto"/>
                  <w:rPr>
                    <w:rFonts w:ascii="Open Sans" w:eastAsia="Open Sans" w:hAnsi="Open Sans" w:cs="Open Sans"/>
                  </w:rPr>
                </w:pPr>
                <w:r>
                  <w:rPr>
                    <w:rFonts w:ascii="Open Sans" w:eastAsia="Open Sans" w:hAnsi="Open Sans" w:cs="Open Sans"/>
                  </w:rPr>
                  <w:t>Entre 3 e 5 anos</w:t>
                </w:r>
              </w:p>
            </w:tc>
            <w:tc>
              <w:tcPr>
                <w:tcW w:w="780" w:type="dxa"/>
              </w:tcPr>
              <w:p w:rsidR="00D14E29" w:rsidRDefault="00D83979">
                <w:pPr>
                  <w:spacing w:line="276" w:lineRule="auto"/>
                  <w:rPr>
                    <w:rFonts w:ascii="Open Sans" w:eastAsia="Open Sans" w:hAnsi="Open Sans" w:cs="Open Sans"/>
                  </w:rPr>
                </w:pPr>
                <w:r>
                  <w:rPr>
                    <w:rFonts w:ascii="Open Sans" w:eastAsia="Open Sans" w:hAnsi="Open Sans" w:cs="Open Sans"/>
                  </w:rPr>
                  <w:t>3</w:t>
                </w:r>
              </w:p>
            </w:tc>
          </w:tr>
          <w:tr w:rsidR="00D14E29">
            <w:trPr>
              <w:trHeight w:val="378"/>
              <w:tblHeader/>
            </w:trPr>
            <w:tc>
              <w:tcPr>
                <w:tcW w:w="8190" w:type="dxa"/>
              </w:tcPr>
              <w:p w:rsidR="00D14E29" w:rsidRDefault="00D83979">
                <w:pPr>
                  <w:spacing w:line="276" w:lineRule="auto"/>
                  <w:rPr>
                    <w:rFonts w:ascii="Open Sans" w:eastAsia="Open Sans" w:hAnsi="Open Sans" w:cs="Open Sans"/>
                  </w:rPr>
                </w:pPr>
                <w:r>
                  <w:rPr>
                    <w:rFonts w:ascii="Open Sans" w:eastAsia="Open Sans" w:hAnsi="Open Sans" w:cs="Open Sans"/>
                  </w:rPr>
                  <w:t>Entre 5 e 10 anos</w:t>
                </w:r>
              </w:p>
            </w:tc>
            <w:tc>
              <w:tcPr>
                <w:tcW w:w="780" w:type="dxa"/>
              </w:tcPr>
              <w:p w:rsidR="00D14E29" w:rsidRDefault="00D83979">
                <w:pPr>
                  <w:spacing w:line="276" w:lineRule="auto"/>
                  <w:rPr>
                    <w:rFonts w:ascii="Open Sans" w:eastAsia="Open Sans" w:hAnsi="Open Sans" w:cs="Open Sans"/>
                  </w:rPr>
                </w:pPr>
                <w:r>
                  <w:rPr>
                    <w:rFonts w:ascii="Open Sans" w:eastAsia="Open Sans" w:hAnsi="Open Sans" w:cs="Open Sans"/>
                  </w:rPr>
                  <w:t>4</w:t>
                </w:r>
              </w:p>
            </w:tc>
          </w:tr>
          <w:tr w:rsidR="00D14E29">
            <w:trPr>
              <w:trHeight w:val="381"/>
              <w:tblHeader/>
            </w:trPr>
            <w:tc>
              <w:tcPr>
                <w:tcW w:w="8190" w:type="dxa"/>
              </w:tcPr>
              <w:p w:rsidR="00D14E29" w:rsidRDefault="00D83979">
                <w:pPr>
                  <w:spacing w:line="276" w:lineRule="auto"/>
                  <w:rPr>
                    <w:rFonts w:ascii="Open Sans" w:eastAsia="Open Sans" w:hAnsi="Open Sans" w:cs="Open Sans"/>
                  </w:rPr>
                </w:pPr>
                <w:r>
                  <w:rPr>
                    <w:rFonts w:ascii="Open Sans" w:eastAsia="Open Sans" w:hAnsi="Open Sans" w:cs="Open Sans"/>
                  </w:rPr>
                  <w:t>Mais de 10 anos</w:t>
                </w:r>
              </w:p>
            </w:tc>
            <w:tc>
              <w:tcPr>
                <w:tcW w:w="780" w:type="dxa"/>
              </w:tcPr>
              <w:p w:rsidR="00D14E29" w:rsidRDefault="00D83979">
                <w:pPr>
                  <w:spacing w:line="276" w:lineRule="auto"/>
                  <w:rPr>
                    <w:rFonts w:ascii="Open Sans" w:eastAsia="Open Sans" w:hAnsi="Open Sans" w:cs="Open Sans"/>
                  </w:rPr>
                </w:pPr>
                <w:r>
                  <w:rPr>
                    <w:rFonts w:ascii="Open Sans" w:eastAsia="Open Sans" w:hAnsi="Open Sans" w:cs="Open Sans"/>
                  </w:rPr>
                  <w:t>5</w:t>
                </w:r>
              </w:p>
            </w:tc>
          </w:tr>
          <w:tr w:rsidR="00D14E29">
            <w:trPr>
              <w:trHeight w:val="379"/>
            </w:trPr>
            <w:tc>
              <w:tcPr>
                <w:tcW w:w="8190" w:type="dxa"/>
              </w:tcPr>
              <w:p w:rsidR="00D14E29" w:rsidRDefault="00D83979">
                <w:pPr>
                  <w:spacing w:line="276" w:lineRule="auto"/>
                  <w:rPr>
                    <w:rFonts w:ascii="Open Sans" w:eastAsia="Open Sans" w:hAnsi="Open Sans" w:cs="Open Sans"/>
                  </w:rPr>
                </w:pPr>
                <w:r>
                  <w:rPr>
                    <w:rFonts w:ascii="Open Sans" w:eastAsia="Open Sans" w:hAnsi="Open Sans" w:cs="Open Sans"/>
                  </w:rPr>
                  <w:t>2. Experiência e conhecimento</w:t>
                </w:r>
              </w:p>
            </w:tc>
            <w:tc>
              <w:tcPr>
                <w:tcW w:w="780" w:type="dxa"/>
              </w:tcPr>
              <w:p w:rsidR="00D14E29" w:rsidRDefault="00D83979">
                <w:pPr>
                  <w:spacing w:line="276" w:lineRule="auto"/>
                  <w:rPr>
                    <w:rFonts w:ascii="Open Sans" w:eastAsia="Open Sans" w:hAnsi="Open Sans" w:cs="Open Sans"/>
                  </w:rPr>
                </w:pPr>
                <w:r>
                  <w:rPr>
                    <w:rFonts w:ascii="Open Sans" w:eastAsia="Open Sans" w:hAnsi="Open Sans" w:cs="Open Sans"/>
                  </w:rPr>
                  <w:t>Nota</w:t>
                </w:r>
              </w:p>
            </w:tc>
          </w:tr>
        </w:tbl>
      </w:sdtContent>
    </w:sdt>
    <w:p w:rsidR="00D14E29" w:rsidRDefault="00D14E29">
      <w:pPr>
        <w:spacing w:after="0" w:line="276" w:lineRule="auto"/>
        <w:rPr>
          <w:rFonts w:ascii="Open Sans" w:eastAsia="Open Sans" w:hAnsi="Open Sans" w:cs="Open Sans"/>
        </w:rPr>
      </w:pPr>
    </w:p>
    <w:sdt>
      <w:sdtPr>
        <w:tag w:val="goog_rdk_5"/>
        <w:id w:val="-710652216"/>
        <w:lock w:val="contentLocked"/>
      </w:sdtPr>
      <w:sdtEndPr/>
      <w:sdtContent>
        <w:tbl>
          <w:tblPr>
            <w:tblStyle w:val="afff1"/>
            <w:tblW w:w="9000" w:type="dxa"/>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05"/>
            <w:gridCol w:w="795"/>
          </w:tblGrid>
          <w:tr w:rsidR="00D14E29">
            <w:trPr>
              <w:trHeight w:val="1200"/>
            </w:trPr>
            <w:tc>
              <w:tcPr>
                <w:tcW w:w="8205" w:type="dxa"/>
              </w:tcPr>
              <w:p w:rsidR="00D14E29" w:rsidRDefault="00D83979">
                <w:pPr>
                  <w:spacing w:line="276" w:lineRule="auto"/>
                  <w:rPr>
                    <w:rFonts w:ascii="Open Sans" w:eastAsia="Open Sans" w:hAnsi="Open Sans" w:cs="Open Sans"/>
                  </w:rPr>
                </w:pPr>
                <w:r>
                  <w:rPr>
                    <w:rFonts w:ascii="Open Sans" w:eastAsia="Open Sans" w:hAnsi="Open Sans" w:cs="Open Sans"/>
                  </w:rPr>
                  <w:t>2.1. A entidade ter recebido prêmio (s) decorrente de sua atuação na gestão de equipamentos, programas e projetos culturais relacionados com o ANEXO Nota Técnica ou de natureza semelhante (a apresentação de quantas forem as declarações só dará direito a po</w:t>
                </w:r>
                <w:r>
                  <w:rPr>
                    <w:rFonts w:ascii="Open Sans" w:eastAsia="Open Sans" w:hAnsi="Open Sans" w:cs="Open Sans"/>
                  </w:rPr>
                  <w:t>ntuar uma única vez).</w:t>
                </w:r>
              </w:p>
            </w:tc>
            <w:tc>
              <w:tcPr>
                <w:tcW w:w="795" w:type="dxa"/>
              </w:tcPr>
              <w:p w:rsidR="00D14E29" w:rsidRDefault="00D14E29">
                <w:pPr>
                  <w:spacing w:line="276" w:lineRule="auto"/>
                  <w:rPr>
                    <w:rFonts w:ascii="Open Sans" w:eastAsia="Open Sans" w:hAnsi="Open Sans" w:cs="Open Sans"/>
                  </w:rPr>
                </w:pPr>
              </w:p>
              <w:p w:rsidR="00D14E29" w:rsidRDefault="00D83979">
                <w:pPr>
                  <w:spacing w:line="276" w:lineRule="auto"/>
                  <w:rPr>
                    <w:rFonts w:ascii="Open Sans" w:eastAsia="Open Sans" w:hAnsi="Open Sans" w:cs="Open Sans"/>
                  </w:rPr>
                </w:pPr>
                <w:r>
                  <w:rPr>
                    <w:rFonts w:ascii="Open Sans" w:eastAsia="Open Sans" w:hAnsi="Open Sans" w:cs="Open Sans"/>
                  </w:rPr>
                  <w:t>1</w:t>
                </w:r>
              </w:p>
            </w:tc>
          </w:tr>
          <w:tr w:rsidR="00D14E29">
            <w:trPr>
              <w:trHeight w:val="1305"/>
            </w:trPr>
            <w:tc>
              <w:tcPr>
                <w:tcW w:w="8205" w:type="dxa"/>
              </w:tcPr>
              <w:p w:rsidR="00D14E29" w:rsidRDefault="00D83979">
                <w:pPr>
                  <w:spacing w:line="276" w:lineRule="auto"/>
                  <w:rPr>
                    <w:rFonts w:ascii="Open Sans" w:eastAsia="Open Sans" w:hAnsi="Open Sans" w:cs="Open Sans"/>
                  </w:rPr>
                </w:pPr>
                <w:r>
                  <w:rPr>
                    <w:rFonts w:ascii="Open Sans" w:eastAsia="Open Sans" w:hAnsi="Open Sans" w:cs="Open Sans"/>
                  </w:rPr>
                  <w:t xml:space="preserve">2.2. Apresentação de currículos profissionais de integrantes da OSC que demonstre sua atuação na realização e promoção de eventos culturais relativos com a experiência na gestão de equipamentos, programas e projetos culturais relacionados com o ANEXO Nota </w:t>
                </w:r>
                <w:r>
                  <w:rPr>
                    <w:rFonts w:ascii="Open Sans" w:eastAsia="Open Sans" w:hAnsi="Open Sans" w:cs="Open Sans"/>
                  </w:rPr>
                  <w:t>Técnica ou de natureza semelhante (a apresentação de quantos forem os currículos só dará direito a pontuar uma única vez).</w:t>
                </w:r>
              </w:p>
            </w:tc>
            <w:tc>
              <w:tcPr>
                <w:tcW w:w="795" w:type="dxa"/>
              </w:tcPr>
              <w:p w:rsidR="00D14E29" w:rsidRDefault="00D14E29">
                <w:pPr>
                  <w:spacing w:line="276" w:lineRule="auto"/>
                  <w:rPr>
                    <w:rFonts w:ascii="Open Sans" w:eastAsia="Open Sans" w:hAnsi="Open Sans" w:cs="Open Sans"/>
                  </w:rPr>
                </w:pPr>
              </w:p>
              <w:p w:rsidR="00D14E29" w:rsidRDefault="00D14E29">
                <w:pPr>
                  <w:spacing w:line="276" w:lineRule="auto"/>
                  <w:rPr>
                    <w:rFonts w:ascii="Open Sans" w:eastAsia="Open Sans" w:hAnsi="Open Sans" w:cs="Open Sans"/>
                  </w:rPr>
                </w:pPr>
              </w:p>
              <w:p w:rsidR="00D14E29" w:rsidRDefault="00D83979">
                <w:pPr>
                  <w:spacing w:line="276" w:lineRule="auto"/>
                  <w:rPr>
                    <w:rFonts w:ascii="Open Sans" w:eastAsia="Open Sans" w:hAnsi="Open Sans" w:cs="Open Sans"/>
                  </w:rPr>
                </w:pPr>
                <w:r>
                  <w:rPr>
                    <w:rFonts w:ascii="Open Sans" w:eastAsia="Open Sans" w:hAnsi="Open Sans" w:cs="Open Sans"/>
                  </w:rPr>
                  <w:t>1</w:t>
                </w:r>
              </w:p>
            </w:tc>
          </w:tr>
          <w:tr w:rsidR="00D14E29">
            <w:trPr>
              <w:trHeight w:val="1290"/>
            </w:trPr>
            <w:tc>
              <w:tcPr>
                <w:tcW w:w="8205" w:type="dxa"/>
              </w:tcPr>
              <w:p w:rsidR="00D14E29" w:rsidRDefault="00D83979">
                <w:pPr>
                  <w:spacing w:line="276" w:lineRule="auto"/>
                  <w:rPr>
                    <w:rFonts w:ascii="Open Sans" w:eastAsia="Open Sans" w:hAnsi="Open Sans" w:cs="Open Sans"/>
                  </w:rPr>
                </w:pPr>
                <w:r>
                  <w:rPr>
                    <w:rFonts w:ascii="Open Sans" w:eastAsia="Open Sans" w:hAnsi="Open Sans" w:cs="Open Sans"/>
                  </w:rPr>
                  <w:t>2.3 Apresentação de declarações de experiência prévia e de capacidade técnica no desenvolvimento de atividades ou projetos relac</w:t>
                </w:r>
                <w:r>
                  <w:rPr>
                    <w:rFonts w:ascii="Open Sans" w:eastAsia="Open Sans" w:hAnsi="Open Sans" w:cs="Open Sans"/>
                  </w:rPr>
                  <w:t>ionados com o ANEXO Nota Técnica ou de natureza semelhante, emitidas por entidades e/ou empresas diversas dos proponentes (1 ponto para cada parceria comprovada, que aporte recursos no projeto, limitando-se a 2 pontos).</w:t>
                </w:r>
              </w:p>
            </w:tc>
            <w:tc>
              <w:tcPr>
                <w:tcW w:w="795" w:type="dxa"/>
              </w:tcPr>
              <w:p w:rsidR="00D14E29" w:rsidRDefault="00D14E29">
                <w:pPr>
                  <w:spacing w:line="276" w:lineRule="auto"/>
                  <w:rPr>
                    <w:rFonts w:ascii="Open Sans" w:eastAsia="Open Sans" w:hAnsi="Open Sans" w:cs="Open Sans"/>
                  </w:rPr>
                </w:pPr>
              </w:p>
              <w:p w:rsidR="00D14E29" w:rsidRDefault="00D14E29">
                <w:pPr>
                  <w:spacing w:line="276" w:lineRule="auto"/>
                  <w:rPr>
                    <w:rFonts w:ascii="Open Sans" w:eastAsia="Open Sans" w:hAnsi="Open Sans" w:cs="Open Sans"/>
                  </w:rPr>
                </w:pPr>
              </w:p>
              <w:p w:rsidR="00D14E29" w:rsidRDefault="00D83979">
                <w:pPr>
                  <w:spacing w:line="276" w:lineRule="auto"/>
                  <w:rPr>
                    <w:rFonts w:ascii="Open Sans" w:eastAsia="Open Sans" w:hAnsi="Open Sans" w:cs="Open Sans"/>
                  </w:rPr>
                </w:pPr>
                <w:r>
                  <w:rPr>
                    <w:rFonts w:ascii="Open Sans" w:eastAsia="Open Sans" w:hAnsi="Open Sans" w:cs="Open Sans"/>
                  </w:rPr>
                  <w:t>2</w:t>
                </w:r>
              </w:p>
            </w:tc>
          </w:tr>
          <w:tr w:rsidR="00D14E29">
            <w:trPr>
              <w:trHeight w:val="1245"/>
            </w:trPr>
            <w:tc>
              <w:tcPr>
                <w:tcW w:w="8205" w:type="dxa"/>
              </w:tcPr>
              <w:p w:rsidR="00D14E29" w:rsidRDefault="00D83979">
                <w:pPr>
                  <w:spacing w:line="276" w:lineRule="auto"/>
                  <w:rPr>
                    <w:rFonts w:ascii="Open Sans" w:eastAsia="Open Sans" w:hAnsi="Open Sans" w:cs="Open Sans"/>
                  </w:rPr>
                </w:pPr>
                <w:r>
                  <w:rPr>
                    <w:rFonts w:ascii="Open Sans" w:eastAsia="Open Sans" w:hAnsi="Open Sans" w:cs="Open Sans"/>
                  </w:rPr>
                  <w:t>2.4 Apresentação de instrumentos de parcerias na na gestão de equipamentos, programas e projetos culturais relacionados com o ANEXO Nota Técnica ou de natureza semelhante firmados com órgãos e entidades da administração pública, empresas ou outras organiza</w:t>
                </w:r>
                <w:r>
                  <w:rPr>
                    <w:rFonts w:ascii="Open Sans" w:eastAsia="Open Sans" w:hAnsi="Open Sans" w:cs="Open Sans"/>
                  </w:rPr>
                  <w:t>ções da sociedade civil (a apresentação de quantas forem as declarações só dará direito a pontuar uma única vez).</w:t>
                </w:r>
              </w:p>
            </w:tc>
            <w:tc>
              <w:tcPr>
                <w:tcW w:w="795" w:type="dxa"/>
              </w:tcPr>
              <w:p w:rsidR="00D14E29" w:rsidRDefault="00D14E29">
                <w:pPr>
                  <w:spacing w:line="276" w:lineRule="auto"/>
                  <w:rPr>
                    <w:rFonts w:ascii="Open Sans" w:eastAsia="Open Sans" w:hAnsi="Open Sans" w:cs="Open Sans"/>
                  </w:rPr>
                </w:pPr>
              </w:p>
              <w:p w:rsidR="00D14E29" w:rsidRDefault="00D14E29">
                <w:pPr>
                  <w:spacing w:line="276" w:lineRule="auto"/>
                  <w:rPr>
                    <w:rFonts w:ascii="Open Sans" w:eastAsia="Open Sans" w:hAnsi="Open Sans" w:cs="Open Sans"/>
                  </w:rPr>
                </w:pPr>
              </w:p>
              <w:p w:rsidR="00D14E29" w:rsidRDefault="00D83979">
                <w:pPr>
                  <w:spacing w:line="276" w:lineRule="auto"/>
                  <w:rPr>
                    <w:rFonts w:ascii="Open Sans" w:eastAsia="Open Sans" w:hAnsi="Open Sans" w:cs="Open Sans"/>
                  </w:rPr>
                </w:pPr>
                <w:r>
                  <w:rPr>
                    <w:rFonts w:ascii="Open Sans" w:eastAsia="Open Sans" w:hAnsi="Open Sans" w:cs="Open Sans"/>
                  </w:rPr>
                  <w:t>1</w:t>
                </w:r>
              </w:p>
            </w:tc>
          </w:tr>
        </w:tbl>
      </w:sdtContent>
    </w:sdt>
    <w:p w:rsidR="00D14E29" w:rsidRDefault="00D14E29">
      <w:pPr>
        <w:spacing w:after="0" w:line="276" w:lineRule="auto"/>
        <w:rPr>
          <w:rFonts w:ascii="Open Sans" w:eastAsia="Open Sans" w:hAnsi="Open Sans" w:cs="Open Sans"/>
        </w:rPr>
      </w:pPr>
    </w:p>
    <w:p w:rsidR="00D14E29" w:rsidRDefault="00D83979">
      <w:pPr>
        <w:tabs>
          <w:tab w:val="left" w:pos="1137"/>
        </w:tabs>
        <w:spacing w:after="0" w:line="276" w:lineRule="auto"/>
        <w:rPr>
          <w:rFonts w:ascii="Open Sans" w:eastAsia="Open Sans" w:hAnsi="Open Sans" w:cs="Open Sans"/>
        </w:rPr>
      </w:pPr>
      <w:r>
        <w:rPr>
          <w:rFonts w:ascii="Open Sans" w:eastAsia="Open Sans" w:hAnsi="Open Sans" w:cs="Open Sans"/>
        </w:rPr>
        <w:t>O julgamento do item C – ACESSIBILIDADE E AÇÕES AFIRMATIVAS será na análise da proposta de plano de trabalho apresentado onde a OSC de</w:t>
      </w:r>
      <w:r>
        <w:rPr>
          <w:rFonts w:ascii="Open Sans" w:eastAsia="Open Sans" w:hAnsi="Open Sans" w:cs="Open Sans"/>
        </w:rPr>
        <w:t>ve informar as ações que serão trabalhadas na execução do objeto do presente chamamento.</w:t>
      </w:r>
    </w:p>
    <w:p w:rsidR="00D14E29" w:rsidRDefault="00D14E29">
      <w:pPr>
        <w:tabs>
          <w:tab w:val="left" w:pos="1137"/>
        </w:tabs>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Tabela 4 – Critérios de avaliação item C</w:t>
      </w:r>
    </w:p>
    <w:p w:rsidR="00D14E29" w:rsidRDefault="00D14E29">
      <w:pPr>
        <w:spacing w:after="0" w:line="276" w:lineRule="auto"/>
        <w:rPr>
          <w:rFonts w:ascii="Open Sans" w:eastAsia="Open Sans" w:hAnsi="Open Sans" w:cs="Open Sans"/>
        </w:rPr>
      </w:pPr>
    </w:p>
    <w:sdt>
      <w:sdtPr>
        <w:tag w:val="goog_rdk_6"/>
        <w:id w:val="-1798520776"/>
        <w:lock w:val="contentLocked"/>
      </w:sdtPr>
      <w:sdtEndPr/>
      <w:sdtContent>
        <w:tbl>
          <w:tblPr>
            <w:tblStyle w:val="afff2"/>
            <w:tblW w:w="9135"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10"/>
            <w:gridCol w:w="825"/>
          </w:tblGrid>
          <w:tr w:rsidR="00D14E29">
            <w:trPr>
              <w:trHeight w:val="380"/>
            </w:trPr>
            <w:tc>
              <w:tcPr>
                <w:tcW w:w="8310" w:type="dxa"/>
              </w:tcPr>
              <w:p w:rsidR="00D14E29" w:rsidRDefault="00D83979">
                <w:pPr>
                  <w:spacing w:line="276" w:lineRule="auto"/>
                  <w:rPr>
                    <w:rFonts w:ascii="Open Sans" w:eastAsia="Open Sans" w:hAnsi="Open Sans" w:cs="Open Sans"/>
                  </w:rPr>
                </w:pPr>
                <w:r>
                  <w:rPr>
                    <w:rFonts w:ascii="Open Sans" w:eastAsia="Open Sans" w:hAnsi="Open Sans" w:cs="Open Sans"/>
                  </w:rPr>
                  <w:t>Ações de Acessibilidade e Ações Afirmativas</w:t>
                </w:r>
              </w:p>
            </w:tc>
            <w:tc>
              <w:tcPr>
                <w:tcW w:w="825" w:type="dxa"/>
              </w:tcPr>
              <w:p w:rsidR="00D14E29" w:rsidRDefault="00D83979">
                <w:pPr>
                  <w:spacing w:line="276" w:lineRule="auto"/>
                  <w:rPr>
                    <w:rFonts w:ascii="Open Sans" w:eastAsia="Open Sans" w:hAnsi="Open Sans" w:cs="Open Sans"/>
                  </w:rPr>
                </w:pPr>
                <w:r>
                  <w:rPr>
                    <w:rFonts w:ascii="Open Sans" w:eastAsia="Open Sans" w:hAnsi="Open Sans" w:cs="Open Sans"/>
                  </w:rPr>
                  <w:t>Nota</w:t>
                </w:r>
              </w:p>
            </w:tc>
          </w:tr>
          <w:tr w:rsidR="00D14E29">
            <w:trPr>
              <w:trHeight w:val="378"/>
            </w:trPr>
            <w:tc>
              <w:tcPr>
                <w:tcW w:w="8310" w:type="dxa"/>
              </w:tcPr>
              <w:p w:rsidR="00D14E29" w:rsidRDefault="00D83979">
                <w:pPr>
                  <w:spacing w:line="276" w:lineRule="auto"/>
                  <w:rPr>
                    <w:rFonts w:ascii="Open Sans" w:eastAsia="Open Sans" w:hAnsi="Open Sans" w:cs="Open Sans"/>
                  </w:rPr>
                </w:pPr>
                <w:r>
                  <w:rPr>
                    <w:rFonts w:ascii="Open Sans" w:eastAsia="Open Sans" w:hAnsi="Open Sans" w:cs="Open Sans"/>
                  </w:rPr>
                  <w:t>Nenhuma ação de acessibilidade e ação afirmativa</w:t>
                </w:r>
              </w:p>
            </w:tc>
            <w:tc>
              <w:tcPr>
                <w:tcW w:w="825" w:type="dxa"/>
              </w:tcPr>
              <w:p w:rsidR="00D14E29" w:rsidRDefault="00D83979">
                <w:pPr>
                  <w:spacing w:line="276" w:lineRule="auto"/>
                  <w:rPr>
                    <w:rFonts w:ascii="Open Sans" w:eastAsia="Open Sans" w:hAnsi="Open Sans" w:cs="Open Sans"/>
                  </w:rPr>
                </w:pPr>
                <w:r>
                  <w:rPr>
                    <w:rFonts w:ascii="Open Sans" w:eastAsia="Open Sans" w:hAnsi="Open Sans" w:cs="Open Sans"/>
                  </w:rPr>
                  <w:t>0</w:t>
                </w:r>
              </w:p>
            </w:tc>
          </w:tr>
          <w:tr w:rsidR="00D14E29">
            <w:trPr>
              <w:trHeight w:val="378"/>
            </w:trPr>
            <w:tc>
              <w:tcPr>
                <w:tcW w:w="8310" w:type="dxa"/>
              </w:tcPr>
              <w:p w:rsidR="00D14E29" w:rsidRDefault="00D83979">
                <w:pPr>
                  <w:spacing w:line="276" w:lineRule="auto"/>
                  <w:rPr>
                    <w:rFonts w:ascii="Open Sans" w:eastAsia="Open Sans" w:hAnsi="Open Sans" w:cs="Open Sans"/>
                  </w:rPr>
                </w:pPr>
                <w:r>
                  <w:rPr>
                    <w:rFonts w:ascii="Open Sans" w:eastAsia="Open Sans" w:hAnsi="Open Sans" w:cs="Open Sans"/>
                  </w:rPr>
                  <w:t>Entre 1 e 2 ações de acessibilidade e ações afirmativas</w:t>
                </w:r>
              </w:p>
            </w:tc>
            <w:tc>
              <w:tcPr>
                <w:tcW w:w="825" w:type="dxa"/>
              </w:tcPr>
              <w:p w:rsidR="00D14E29" w:rsidRDefault="00D83979">
                <w:pPr>
                  <w:spacing w:line="276" w:lineRule="auto"/>
                  <w:rPr>
                    <w:rFonts w:ascii="Open Sans" w:eastAsia="Open Sans" w:hAnsi="Open Sans" w:cs="Open Sans"/>
                  </w:rPr>
                </w:pPr>
                <w:r>
                  <w:rPr>
                    <w:rFonts w:ascii="Open Sans" w:eastAsia="Open Sans" w:hAnsi="Open Sans" w:cs="Open Sans"/>
                  </w:rPr>
                  <w:t>3</w:t>
                </w:r>
              </w:p>
            </w:tc>
          </w:tr>
          <w:tr w:rsidR="00D14E29">
            <w:trPr>
              <w:trHeight w:val="381"/>
            </w:trPr>
            <w:tc>
              <w:tcPr>
                <w:tcW w:w="8310" w:type="dxa"/>
              </w:tcPr>
              <w:p w:rsidR="00D14E29" w:rsidRDefault="00D83979">
                <w:pPr>
                  <w:spacing w:line="276" w:lineRule="auto"/>
                  <w:rPr>
                    <w:rFonts w:ascii="Open Sans" w:eastAsia="Open Sans" w:hAnsi="Open Sans" w:cs="Open Sans"/>
                  </w:rPr>
                </w:pPr>
                <w:r>
                  <w:rPr>
                    <w:rFonts w:ascii="Open Sans" w:eastAsia="Open Sans" w:hAnsi="Open Sans" w:cs="Open Sans"/>
                  </w:rPr>
                  <w:t>Entre 3 e 4 ações de acessibilidade e ações afirmativas</w:t>
                </w:r>
              </w:p>
            </w:tc>
            <w:tc>
              <w:tcPr>
                <w:tcW w:w="825" w:type="dxa"/>
              </w:tcPr>
              <w:p w:rsidR="00D14E29" w:rsidRDefault="00D83979">
                <w:pPr>
                  <w:spacing w:line="276" w:lineRule="auto"/>
                  <w:rPr>
                    <w:rFonts w:ascii="Open Sans" w:eastAsia="Open Sans" w:hAnsi="Open Sans" w:cs="Open Sans"/>
                  </w:rPr>
                </w:pPr>
                <w:r>
                  <w:rPr>
                    <w:rFonts w:ascii="Open Sans" w:eastAsia="Open Sans" w:hAnsi="Open Sans" w:cs="Open Sans"/>
                  </w:rPr>
                  <w:t>4</w:t>
                </w:r>
              </w:p>
            </w:tc>
          </w:tr>
          <w:tr w:rsidR="00D14E29">
            <w:trPr>
              <w:trHeight w:val="379"/>
            </w:trPr>
            <w:tc>
              <w:tcPr>
                <w:tcW w:w="8310" w:type="dxa"/>
              </w:tcPr>
              <w:p w:rsidR="00D14E29" w:rsidRDefault="00D83979">
                <w:pPr>
                  <w:spacing w:line="276" w:lineRule="auto"/>
                  <w:rPr>
                    <w:rFonts w:ascii="Open Sans" w:eastAsia="Open Sans" w:hAnsi="Open Sans" w:cs="Open Sans"/>
                  </w:rPr>
                </w:pPr>
                <w:r>
                  <w:rPr>
                    <w:rFonts w:ascii="Open Sans" w:eastAsia="Open Sans" w:hAnsi="Open Sans" w:cs="Open Sans"/>
                  </w:rPr>
                  <w:t>Mais 4 ações de acessibilidade e ações afirmativas</w:t>
                </w:r>
              </w:p>
            </w:tc>
            <w:tc>
              <w:tcPr>
                <w:tcW w:w="825" w:type="dxa"/>
              </w:tcPr>
              <w:p w:rsidR="00D14E29" w:rsidRDefault="00D83979">
                <w:pPr>
                  <w:spacing w:line="276" w:lineRule="auto"/>
                  <w:rPr>
                    <w:rFonts w:ascii="Open Sans" w:eastAsia="Open Sans" w:hAnsi="Open Sans" w:cs="Open Sans"/>
                  </w:rPr>
                </w:pPr>
                <w:r>
                  <w:rPr>
                    <w:rFonts w:ascii="Open Sans" w:eastAsia="Open Sans" w:hAnsi="Open Sans" w:cs="Open Sans"/>
                  </w:rPr>
                  <w:t>5</w:t>
                </w:r>
              </w:p>
            </w:tc>
          </w:tr>
        </w:tbl>
      </w:sdtContent>
    </w:sdt>
    <w:p w:rsidR="00D14E29" w:rsidRDefault="00D14E29">
      <w:pPr>
        <w:spacing w:after="0" w:line="276" w:lineRule="auto"/>
        <w:rPr>
          <w:rFonts w:ascii="Open Sans" w:eastAsia="Open Sans" w:hAnsi="Open Sans" w:cs="Open Sans"/>
        </w:rPr>
        <w:sectPr w:rsidR="00D14E29">
          <w:headerReference w:type="default" r:id="rId9"/>
          <w:pgSz w:w="11906" w:h="16838"/>
          <w:pgMar w:top="1417" w:right="1417" w:bottom="1417" w:left="1417" w:header="708" w:footer="708" w:gutter="0"/>
          <w:pgNumType w:start="1"/>
          <w:cols w:space="720"/>
        </w:sectPr>
      </w:pPr>
    </w:p>
    <w:p w:rsidR="00D14E29" w:rsidRDefault="00D83979">
      <w:pPr>
        <w:tabs>
          <w:tab w:val="left" w:pos="998"/>
        </w:tabs>
        <w:spacing w:after="0" w:line="276" w:lineRule="auto"/>
        <w:rPr>
          <w:rFonts w:ascii="Open Sans" w:eastAsia="Open Sans" w:hAnsi="Open Sans" w:cs="Open Sans"/>
        </w:rPr>
      </w:pPr>
      <w:r>
        <w:rPr>
          <w:rFonts w:ascii="Open Sans" w:eastAsia="Open Sans" w:hAnsi="Open Sans" w:cs="Open Sans"/>
        </w:rPr>
        <w:t xml:space="preserve">I - Em razão dos princípios constitucionais que são pertinentes à Administração Pública, é necessário que nos procedimentos de seleção exista a isonomia entre os competidores, bem como a impessoalidade e o julgamento objetivo. Assim, justifica-se a seguir </w:t>
      </w:r>
      <w:r>
        <w:rPr>
          <w:rFonts w:ascii="Open Sans" w:eastAsia="Open Sans" w:hAnsi="Open Sans" w:cs="Open Sans"/>
        </w:rPr>
        <w:t>todos os critérios de pontuação, com respectivos pesos.</w:t>
      </w:r>
    </w:p>
    <w:p w:rsidR="00D14E29" w:rsidRDefault="00D83979">
      <w:pPr>
        <w:tabs>
          <w:tab w:val="left" w:pos="916"/>
        </w:tabs>
        <w:spacing w:after="0" w:line="276" w:lineRule="auto"/>
        <w:rPr>
          <w:rFonts w:ascii="Open Sans" w:eastAsia="Open Sans" w:hAnsi="Open Sans" w:cs="Open Sans"/>
        </w:rPr>
      </w:pPr>
      <w:r>
        <w:rPr>
          <w:rFonts w:ascii="Open Sans" w:eastAsia="Open Sans" w:hAnsi="Open Sans" w:cs="Open Sans"/>
        </w:rPr>
        <w:t>II - A falsidade de informações nas propostas de trabalho deverá acarretar a eliminação da proposta, podendo ensejar ainda a aplicação de sanção administrativa contra a instituição proponente e comuni</w:t>
      </w:r>
      <w:r>
        <w:rPr>
          <w:rFonts w:ascii="Open Sans" w:eastAsia="Open Sans" w:hAnsi="Open Sans" w:cs="Open Sans"/>
        </w:rPr>
        <w:t>cação do fato às autoridades competentes, inclusive para apuração do cometimento de eventual crime.</w:t>
      </w:r>
    </w:p>
    <w:p w:rsidR="00D14E29" w:rsidRDefault="00D83979">
      <w:pPr>
        <w:tabs>
          <w:tab w:val="left" w:pos="979"/>
        </w:tabs>
        <w:spacing w:after="0" w:line="276" w:lineRule="auto"/>
        <w:rPr>
          <w:rFonts w:ascii="Open Sans" w:eastAsia="Open Sans" w:hAnsi="Open Sans" w:cs="Open Sans"/>
        </w:rPr>
      </w:pPr>
      <w:r>
        <w:rPr>
          <w:rFonts w:ascii="Open Sans" w:eastAsia="Open Sans" w:hAnsi="Open Sans" w:cs="Open Sans"/>
        </w:rPr>
        <w:t>III - O proponente deverá descrever minuciosamente as experiências relativas aos critérios de julgamento, informando as atividades ou projetos desenvolvidos</w:t>
      </w:r>
      <w:r>
        <w:rPr>
          <w:rFonts w:ascii="Open Sans" w:eastAsia="Open Sans" w:hAnsi="Open Sans" w:cs="Open Sans"/>
        </w:rPr>
        <w:t>, sua duração, financiadores, local ou abrangência, beneficiários, resultados alcançados, dentre outras informações que julgar relevantes.</w:t>
      </w:r>
    </w:p>
    <w:p w:rsidR="00D14E29" w:rsidRDefault="00D83979">
      <w:pPr>
        <w:tabs>
          <w:tab w:val="left" w:pos="926"/>
        </w:tabs>
        <w:spacing w:after="0" w:line="276" w:lineRule="auto"/>
        <w:rPr>
          <w:rFonts w:ascii="Open Sans" w:eastAsia="Open Sans" w:hAnsi="Open Sans" w:cs="Open Sans"/>
        </w:rPr>
      </w:pPr>
      <w:r>
        <w:rPr>
          <w:rFonts w:ascii="Open Sans" w:eastAsia="Open Sans" w:hAnsi="Open Sans" w:cs="Open Sans"/>
        </w:rPr>
        <w:t>IV - Serão eliminadas aquelas propostas de trabalho:</w:t>
      </w:r>
    </w:p>
    <w:p w:rsidR="00D14E29" w:rsidRDefault="00D83979">
      <w:pPr>
        <w:numPr>
          <w:ilvl w:val="0"/>
          <w:numId w:val="1"/>
        </w:numPr>
        <w:tabs>
          <w:tab w:val="left" w:pos="1111"/>
        </w:tabs>
        <w:spacing w:after="0" w:line="276" w:lineRule="auto"/>
        <w:ind w:left="0" w:firstLine="0"/>
        <w:rPr>
          <w:rFonts w:ascii="Open Sans" w:eastAsia="Open Sans" w:hAnsi="Open Sans" w:cs="Open Sans"/>
        </w:rPr>
      </w:pPr>
      <w:r>
        <w:rPr>
          <w:rFonts w:ascii="Open Sans" w:eastAsia="Open Sans" w:hAnsi="Open Sans" w:cs="Open Sans"/>
        </w:rPr>
        <w:t>Cuja pontuação total for inferior a 60 (sessenta) pontos;</w:t>
      </w:r>
    </w:p>
    <w:p w:rsidR="00D14E29" w:rsidRDefault="00D83979">
      <w:pPr>
        <w:numPr>
          <w:ilvl w:val="0"/>
          <w:numId w:val="1"/>
        </w:numPr>
        <w:tabs>
          <w:tab w:val="left" w:pos="1118"/>
        </w:tabs>
        <w:spacing w:after="0" w:line="276" w:lineRule="auto"/>
        <w:ind w:left="0" w:firstLine="0"/>
        <w:rPr>
          <w:rFonts w:ascii="Open Sans" w:eastAsia="Open Sans" w:hAnsi="Open Sans" w:cs="Open Sans"/>
        </w:rPr>
      </w:pPr>
      <w:r>
        <w:rPr>
          <w:rFonts w:ascii="Open Sans" w:eastAsia="Open Sans" w:hAnsi="Open Sans" w:cs="Open Sans"/>
        </w:rPr>
        <w:t>Que recebam nota “zero” em um ou mais dos subitens do critério “B - Capacidade Técnica e Operacional” (art. 33, caput, inciso V, alínea “c”, da Lei nº 13.019, de 2004);</w:t>
      </w:r>
    </w:p>
    <w:p w:rsidR="00D14E29" w:rsidRDefault="00D83979">
      <w:pPr>
        <w:numPr>
          <w:ilvl w:val="0"/>
          <w:numId w:val="1"/>
        </w:numPr>
        <w:tabs>
          <w:tab w:val="left" w:pos="1103"/>
        </w:tabs>
        <w:spacing w:after="0" w:line="276" w:lineRule="auto"/>
        <w:ind w:left="0" w:firstLine="0"/>
        <w:rPr>
          <w:rFonts w:ascii="Open Sans" w:eastAsia="Open Sans" w:hAnsi="Open Sans" w:cs="Open Sans"/>
        </w:rPr>
      </w:pPr>
      <w:r>
        <w:rPr>
          <w:rFonts w:ascii="Open Sans" w:eastAsia="Open Sans" w:hAnsi="Open Sans" w:cs="Open Sans"/>
        </w:rPr>
        <w:t>Que não contenham, no mínimo, as seguintes informações: a descrição da realidade objeto</w:t>
      </w:r>
      <w:r>
        <w:rPr>
          <w:rFonts w:ascii="Open Sans" w:eastAsia="Open Sans" w:hAnsi="Open Sans" w:cs="Open Sans"/>
        </w:rPr>
        <w:t xml:space="preserve"> da parceria e o nexo com a atividade ou o projeto proposto; as ações a serem executadas, as metas a serem atingidas e os indicadores que aferirão o cumprimento das metas; os prazos para a execução das ações e para o cumprimento das metas; e o valor global</w:t>
      </w:r>
      <w:r>
        <w:rPr>
          <w:rFonts w:ascii="Open Sans" w:eastAsia="Open Sans" w:hAnsi="Open Sans" w:cs="Open Sans"/>
        </w:rPr>
        <w:t xml:space="preserve"> proposto;</w:t>
      </w:r>
    </w:p>
    <w:p w:rsidR="00D14E29" w:rsidRDefault="00D83979">
      <w:pPr>
        <w:numPr>
          <w:ilvl w:val="0"/>
          <w:numId w:val="1"/>
        </w:numPr>
        <w:tabs>
          <w:tab w:val="left" w:pos="1113"/>
        </w:tabs>
        <w:spacing w:after="0" w:line="276" w:lineRule="auto"/>
        <w:ind w:left="0" w:firstLine="0"/>
        <w:rPr>
          <w:rFonts w:ascii="Open Sans" w:eastAsia="Open Sans" w:hAnsi="Open Sans" w:cs="Open Sans"/>
        </w:rPr>
      </w:pPr>
      <w:r>
        <w:rPr>
          <w:rFonts w:ascii="Open Sans" w:eastAsia="Open Sans" w:hAnsi="Open Sans" w:cs="Open Sans"/>
        </w:rPr>
        <w:t>Com valor incompatível com o objeto da parceria, a ser avaliado pela Comissão de Seleção à luz da estimativa realizada e de eventuais diligências complementares, que ateste a inviabilidade econômica e financeira da proposta de trabalho, inclusiv</w:t>
      </w:r>
      <w:r>
        <w:rPr>
          <w:rFonts w:ascii="Open Sans" w:eastAsia="Open Sans" w:hAnsi="Open Sans" w:cs="Open Sans"/>
        </w:rPr>
        <w:t>e à luz do orçamento disponível, sendo limitadas ao saneamento de imprecisões e confirmação de dados contidos na documentação apresentada.</w:t>
      </w:r>
    </w:p>
    <w:p w:rsidR="00D14E29" w:rsidRDefault="00D14E29">
      <w:pPr>
        <w:spacing w:after="0" w:line="276" w:lineRule="auto"/>
        <w:rPr>
          <w:rFonts w:ascii="Open Sans" w:eastAsia="Open Sans" w:hAnsi="Open Sans" w:cs="Open Sans"/>
        </w:rPr>
      </w:pPr>
    </w:p>
    <w:p w:rsidR="00D14E29" w:rsidRDefault="00D83979">
      <w:pPr>
        <w:tabs>
          <w:tab w:val="left" w:pos="926"/>
        </w:tabs>
        <w:spacing w:after="0" w:line="276" w:lineRule="auto"/>
        <w:rPr>
          <w:rFonts w:ascii="Open Sans" w:eastAsia="Open Sans" w:hAnsi="Open Sans" w:cs="Open Sans"/>
        </w:rPr>
      </w:pPr>
      <w:r>
        <w:rPr>
          <w:rFonts w:ascii="Open Sans" w:eastAsia="Open Sans" w:hAnsi="Open Sans" w:cs="Open Sans"/>
        </w:rPr>
        <w:t>As propostas de trabalho não eliminadas serão classificadas, em ordem decrescente, de acordo com a pontuação total o</w:t>
      </w:r>
      <w:r>
        <w:rPr>
          <w:rFonts w:ascii="Open Sans" w:eastAsia="Open Sans" w:hAnsi="Open Sans" w:cs="Open Sans"/>
        </w:rPr>
        <w:t>btida com base na Tabela 2, assim considerada a média aritmética das notas lançadas por cada um dos membros da Comissão de Seleção, em relação a cada um dos critérios de julgamento.</w:t>
      </w:r>
    </w:p>
    <w:p w:rsidR="00D14E29" w:rsidRDefault="00D14E29">
      <w:pPr>
        <w:tabs>
          <w:tab w:val="left" w:pos="926"/>
        </w:tabs>
        <w:spacing w:after="0" w:line="276" w:lineRule="auto"/>
        <w:rPr>
          <w:rFonts w:ascii="Open Sans" w:eastAsia="Open Sans" w:hAnsi="Open Sans" w:cs="Open Sans"/>
        </w:rPr>
      </w:pPr>
    </w:p>
    <w:p w:rsidR="00D14E29" w:rsidRDefault="00D83979">
      <w:pPr>
        <w:tabs>
          <w:tab w:val="left" w:pos="923"/>
        </w:tabs>
        <w:spacing w:after="0" w:line="276" w:lineRule="auto"/>
        <w:rPr>
          <w:rFonts w:ascii="Open Sans" w:eastAsia="Open Sans" w:hAnsi="Open Sans" w:cs="Open Sans"/>
        </w:rPr>
      </w:pPr>
      <w:r>
        <w:rPr>
          <w:rFonts w:ascii="Open Sans" w:eastAsia="Open Sans" w:hAnsi="Open Sans" w:cs="Open Sans"/>
        </w:rPr>
        <w:t>Sagra-se vencedor (as) do Chamamento Público a proponente que adquirir ma</w:t>
      </w:r>
      <w:r>
        <w:rPr>
          <w:rFonts w:ascii="Open Sans" w:eastAsia="Open Sans" w:hAnsi="Open Sans" w:cs="Open Sans"/>
        </w:rPr>
        <w:t>ior PONTUAÇÃO FINAL. Em caso de empate na nota final atribuída às proponentes, a Comissão de Seleção deverá avaliar a maior pontuação do item C - ACESSIBILIDADE E AÇÕES AFIRMATIVAS. Permanecendo o empate, deverá ser observada a pontuação do item A – ARTICU</w:t>
      </w:r>
      <w:r>
        <w:rPr>
          <w:rFonts w:ascii="Open Sans" w:eastAsia="Open Sans" w:hAnsi="Open Sans" w:cs="Open Sans"/>
        </w:rPr>
        <w:t>LAÇÃO E CONSISTÊNCIA DO PROJETO. Caso permaneça o empate, verificar a pontuação do item B - CAPACIDADE TÉCNICA E OPERACIONAL.</w:t>
      </w:r>
    </w:p>
    <w:p w:rsidR="00D14E29" w:rsidRDefault="00D83979">
      <w:pPr>
        <w:tabs>
          <w:tab w:val="left" w:pos="1108"/>
        </w:tabs>
        <w:spacing w:after="0" w:line="276" w:lineRule="auto"/>
        <w:rPr>
          <w:rFonts w:ascii="Open Sans" w:eastAsia="Open Sans" w:hAnsi="Open Sans" w:cs="Open Sans"/>
        </w:rPr>
      </w:pPr>
      <w:r>
        <w:rPr>
          <w:rFonts w:ascii="Open Sans" w:eastAsia="Open Sans" w:hAnsi="Open Sans" w:cs="Open Sans"/>
        </w:rPr>
        <w:t>Continuando o empate na análise nos itens dos critérios de avaliação acima, será considerada vencedora a entidade com mais tempo d</w:t>
      </w:r>
      <w:r>
        <w:rPr>
          <w:rFonts w:ascii="Open Sans" w:eastAsia="Open Sans" w:hAnsi="Open Sans" w:cs="Open Sans"/>
        </w:rPr>
        <w:t>e constituição.</w:t>
      </w:r>
    </w:p>
    <w:p w:rsidR="00D14E29" w:rsidRDefault="00D14E29">
      <w:pPr>
        <w:tabs>
          <w:tab w:val="left" w:pos="1108"/>
        </w:tabs>
        <w:spacing w:after="0" w:line="276" w:lineRule="auto"/>
        <w:rPr>
          <w:rFonts w:ascii="Open Sans" w:eastAsia="Open Sans" w:hAnsi="Open Sans" w:cs="Open Sans"/>
        </w:rPr>
      </w:pPr>
    </w:p>
    <w:p w:rsidR="00D14E29" w:rsidRDefault="00D83979">
      <w:pPr>
        <w:tabs>
          <w:tab w:val="left" w:pos="937"/>
        </w:tabs>
        <w:spacing w:after="0" w:line="276" w:lineRule="auto"/>
        <w:rPr>
          <w:rFonts w:ascii="Open Sans" w:eastAsia="Open Sans" w:hAnsi="Open Sans" w:cs="Open Sans"/>
        </w:rPr>
      </w:pPr>
      <w:r>
        <w:rPr>
          <w:rFonts w:ascii="Open Sans" w:eastAsia="Open Sans" w:hAnsi="Open Sans" w:cs="Open Sans"/>
        </w:rPr>
        <w:t>O resultado preliminar apurado pela Comissão de Seleção será divulgado no site da Secult. O resultado final será homologado e divulgado no site da SECULT (</w:t>
      </w:r>
      <w:hyperlink r:id="rId10">
        <w:r>
          <w:rPr>
            <w:rFonts w:ascii="Open Sans" w:eastAsia="Open Sans" w:hAnsi="Open Sans" w:cs="Open Sans"/>
            <w:color w:val="1155CC"/>
            <w:u w:val="single"/>
          </w:rPr>
          <w:t>www.secult.es.gov.br</w:t>
        </w:r>
      </w:hyperlink>
      <w:r>
        <w:rPr>
          <w:rFonts w:ascii="Open Sans" w:eastAsia="Open Sans" w:hAnsi="Open Sans" w:cs="Open Sans"/>
        </w:rPr>
        <w:t>) e publicado no</w:t>
      </w:r>
      <w:r>
        <w:rPr>
          <w:rFonts w:ascii="Open Sans" w:eastAsia="Open Sans" w:hAnsi="Open Sans" w:cs="Open Sans"/>
        </w:rPr>
        <w:t xml:space="preserve"> Diário Oficial do Estado.</w:t>
      </w:r>
    </w:p>
    <w:p w:rsidR="00D14E29" w:rsidRDefault="00D14E29">
      <w:pPr>
        <w:tabs>
          <w:tab w:val="left" w:pos="937"/>
        </w:tabs>
        <w:spacing w:after="0" w:line="276" w:lineRule="auto"/>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6. CALENDÁRIO DO CHAMAMENTO</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O chamamento público para o programa será dividido em sete etapas:</w:t>
      </w:r>
    </w:p>
    <w:p w:rsidR="00D14E29" w:rsidRDefault="00D14E29">
      <w:pPr>
        <w:spacing w:after="0" w:line="276" w:lineRule="auto"/>
        <w:jc w:val="both"/>
        <w:rPr>
          <w:rFonts w:ascii="Open Sans" w:eastAsia="Open Sans" w:hAnsi="Open Sans" w:cs="Open Sans"/>
        </w:rPr>
      </w:pPr>
    </w:p>
    <w:tbl>
      <w:tblPr>
        <w:tblStyle w:val="afff3"/>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
        <w:gridCol w:w="4562"/>
        <w:gridCol w:w="3667"/>
      </w:tblGrid>
      <w:tr w:rsidR="00D14E29">
        <w:trPr>
          <w:trHeight w:val="87"/>
          <w:jc w:val="center"/>
        </w:trPr>
        <w:tc>
          <w:tcPr>
            <w:tcW w:w="980"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ETAPA</w:t>
            </w:r>
          </w:p>
        </w:tc>
        <w:tc>
          <w:tcPr>
            <w:tcW w:w="4562"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O QUE É</w:t>
            </w:r>
          </w:p>
        </w:tc>
        <w:tc>
          <w:tcPr>
            <w:tcW w:w="3667"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QUANDO ACONTECE</w:t>
            </w:r>
          </w:p>
        </w:tc>
      </w:tr>
      <w:tr w:rsidR="00D14E29">
        <w:trPr>
          <w:trHeight w:val="87"/>
          <w:jc w:val="center"/>
        </w:trPr>
        <w:tc>
          <w:tcPr>
            <w:tcW w:w="980"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1</w:t>
            </w:r>
          </w:p>
        </w:tc>
        <w:tc>
          <w:tcPr>
            <w:tcW w:w="4562"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Publicação do edital de chamamento público</w:t>
            </w:r>
          </w:p>
        </w:tc>
        <w:tc>
          <w:tcPr>
            <w:tcW w:w="3667" w:type="dxa"/>
            <w:vAlign w:val="center"/>
          </w:tcPr>
          <w:p w:rsidR="00D14E29" w:rsidRDefault="00D14E29">
            <w:pPr>
              <w:spacing w:line="276" w:lineRule="auto"/>
              <w:jc w:val="both"/>
              <w:rPr>
                <w:rFonts w:ascii="Open Sans" w:eastAsia="Open Sans" w:hAnsi="Open Sans" w:cs="Open Sans"/>
              </w:rPr>
            </w:pPr>
          </w:p>
        </w:tc>
      </w:tr>
      <w:tr w:rsidR="00D14E29">
        <w:trPr>
          <w:trHeight w:val="87"/>
          <w:jc w:val="center"/>
        </w:trPr>
        <w:tc>
          <w:tcPr>
            <w:tcW w:w="980"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2</w:t>
            </w:r>
          </w:p>
        </w:tc>
        <w:tc>
          <w:tcPr>
            <w:tcW w:w="4562"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Período para envio das propostas de trabalho pelas OSCs</w:t>
            </w:r>
          </w:p>
        </w:tc>
        <w:tc>
          <w:tcPr>
            <w:tcW w:w="3667" w:type="dxa"/>
            <w:vAlign w:val="center"/>
          </w:tcPr>
          <w:p w:rsidR="00D14E29" w:rsidRDefault="00D14E29">
            <w:pPr>
              <w:spacing w:line="276" w:lineRule="auto"/>
              <w:jc w:val="both"/>
              <w:rPr>
                <w:rFonts w:ascii="Open Sans" w:eastAsia="Open Sans" w:hAnsi="Open Sans" w:cs="Open Sans"/>
              </w:rPr>
            </w:pPr>
          </w:p>
        </w:tc>
      </w:tr>
      <w:tr w:rsidR="00D14E29">
        <w:trPr>
          <w:trHeight w:val="87"/>
          <w:jc w:val="center"/>
        </w:trPr>
        <w:tc>
          <w:tcPr>
            <w:tcW w:w="980"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3</w:t>
            </w:r>
          </w:p>
        </w:tc>
        <w:tc>
          <w:tcPr>
            <w:tcW w:w="4562"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Etapa competitiva de avaliação das propostas de trabalho pela Comissão de Seleção</w:t>
            </w:r>
          </w:p>
        </w:tc>
        <w:tc>
          <w:tcPr>
            <w:tcW w:w="3667" w:type="dxa"/>
            <w:vAlign w:val="center"/>
          </w:tcPr>
          <w:p w:rsidR="00D14E29" w:rsidRDefault="00D14E29">
            <w:pPr>
              <w:spacing w:line="276" w:lineRule="auto"/>
              <w:jc w:val="both"/>
              <w:rPr>
                <w:rFonts w:ascii="Open Sans" w:eastAsia="Open Sans" w:hAnsi="Open Sans" w:cs="Open Sans"/>
              </w:rPr>
            </w:pPr>
          </w:p>
        </w:tc>
      </w:tr>
      <w:tr w:rsidR="00D14E29">
        <w:trPr>
          <w:trHeight w:val="87"/>
          <w:jc w:val="center"/>
        </w:trPr>
        <w:tc>
          <w:tcPr>
            <w:tcW w:w="980"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4</w:t>
            </w:r>
          </w:p>
        </w:tc>
        <w:tc>
          <w:tcPr>
            <w:tcW w:w="4562"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Divulgação do resultado preliminar (classificação)</w:t>
            </w:r>
          </w:p>
        </w:tc>
        <w:tc>
          <w:tcPr>
            <w:tcW w:w="3667" w:type="dxa"/>
            <w:vAlign w:val="center"/>
          </w:tcPr>
          <w:p w:rsidR="00D14E29" w:rsidRDefault="00D14E29">
            <w:pPr>
              <w:spacing w:line="276" w:lineRule="auto"/>
              <w:jc w:val="both"/>
              <w:rPr>
                <w:rFonts w:ascii="Open Sans" w:eastAsia="Open Sans" w:hAnsi="Open Sans" w:cs="Open Sans"/>
              </w:rPr>
            </w:pPr>
          </w:p>
        </w:tc>
      </w:tr>
      <w:tr w:rsidR="00D14E29">
        <w:trPr>
          <w:trHeight w:val="87"/>
          <w:jc w:val="center"/>
        </w:trPr>
        <w:tc>
          <w:tcPr>
            <w:tcW w:w="980"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5</w:t>
            </w:r>
          </w:p>
        </w:tc>
        <w:tc>
          <w:tcPr>
            <w:tcW w:w="4562"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Interposição de recursos contra o resultado preliminar</w:t>
            </w:r>
          </w:p>
        </w:tc>
        <w:tc>
          <w:tcPr>
            <w:tcW w:w="3667" w:type="dxa"/>
            <w:vAlign w:val="center"/>
          </w:tcPr>
          <w:p w:rsidR="00D14E29" w:rsidRDefault="00D14E29">
            <w:pPr>
              <w:spacing w:line="276" w:lineRule="auto"/>
              <w:jc w:val="both"/>
              <w:rPr>
                <w:rFonts w:ascii="Open Sans" w:eastAsia="Open Sans" w:hAnsi="Open Sans" w:cs="Open Sans"/>
              </w:rPr>
            </w:pPr>
          </w:p>
        </w:tc>
      </w:tr>
      <w:tr w:rsidR="00D14E29">
        <w:trPr>
          <w:trHeight w:val="87"/>
          <w:jc w:val="center"/>
        </w:trPr>
        <w:tc>
          <w:tcPr>
            <w:tcW w:w="980"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6</w:t>
            </w:r>
          </w:p>
        </w:tc>
        <w:tc>
          <w:tcPr>
            <w:tcW w:w="4562"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Análise dos recursos pela Comissão de Seleção</w:t>
            </w:r>
          </w:p>
        </w:tc>
        <w:tc>
          <w:tcPr>
            <w:tcW w:w="3667" w:type="dxa"/>
            <w:vAlign w:val="center"/>
          </w:tcPr>
          <w:p w:rsidR="00D14E29" w:rsidRDefault="00D14E29">
            <w:pPr>
              <w:spacing w:line="276" w:lineRule="auto"/>
              <w:jc w:val="both"/>
              <w:rPr>
                <w:rFonts w:ascii="Open Sans" w:eastAsia="Open Sans" w:hAnsi="Open Sans" w:cs="Open Sans"/>
              </w:rPr>
            </w:pPr>
          </w:p>
        </w:tc>
      </w:tr>
      <w:tr w:rsidR="00D14E29">
        <w:trPr>
          <w:trHeight w:val="87"/>
          <w:jc w:val="center"/>
        </w:trPr>
        <w:tc>
          <w:tcPr>
            <w:tcW w:w="980"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7</w:t>
            </w:r>
          </w:p>
        </w:tc>
        <w:tc>
          <w:tcPr>
            <w:tcW w:w="4562" w:type="dxa"/>
          </w:tcPr>
          <w:p w:rsidR="00D14E29" w:rsidRDefault="00D83979">
            <w:pPr>
              <w:spacing w:line="276" w:lineRule="auto"/>
              <w:jc w:val="both"/>
              <w:rPr>
                <w:rFonts w:ascii="Open Sans" w:eastAsia="Open Sans" w:hAnsi="Open Sans" w:cs="Open Sans"/>
              </w:rPr>
            </w:pPr>
            <w:r>
              <w:rPr>
                <w:rFonts w:ascii="Open Sans" w:eastAsia="Open Sans" w:hAnsi="Open Sans" w:cs="Open Sans"/>
              </w:rPr>
              <w:t>Homologação e publicação do resultado definitivo da fase de seleção, com divulgação das decisões sobre recursos recursais proferidas (se houver)</w:t>
            </w:r>
          </w:p>
        </w:tc>
        <w:tc>
          <w:tcPr>
            <w:tcW w:w="3667" w:type="dxa"/>
            <w:vAlign w:val="center"/>
          </w:tcPr>
          <w:p w:rsidR="00D14E29" w:rsidRDefault="00D14E29">
            <w:pPr>
              <w:spacing w:line="276" w:lineRule="auto"/>
              <w:jc w:val="both"/>
              <w:rPr>
                <w:rFonts w:ascii="Open Sans" w:eastAsia="Open Sans" w:hAnsi="Open Sans" w:cs="Open Sans"/>
              </w:rPr>
            </w:pPr>
          </w:p>
        </w:tc>
      </w:tr>
    </w:tbl>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7. VALOR GLOBAL</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O edital de chamamento público contará com recursos na ordem de R$ 700.000,00 (setecentos mil reais), provenientes da Política Nacional Aldir Blanc de Fomento à Cultura (PNAB).</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8. FONTE DE RECURSOS</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 despesa ocorrerá no Programa de Trabalho: 10.40.901.13</w:t>
      </w:r>
      <w:r>
        <w:rPr>
          <w:rFonts w:ascii="Open Sans" w:eastAsia="Open Sans" w:hAnsi="Open Sans" w:cs="Open Sans"/>
        </w:rPr>
        <w:t>.392.0043.2298 - Apoio, Financiamento e Incentivo à Produção Cultural, Elemento de Despesa 3.3.50.41.00.</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9.  APRESENTAÇÃO DE PROPOSTAS</w:t>
      </w:r>
    </w:p>
    <w:p w:rsidR="00D14E29" w:rsidRDefault="00D14E29">
      <w:pPr>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 xml:space="preserve">As inscrições deverão ser realizadas, exclusivamente, em plataforma on-line, através do site </w:t>
      </w:r>
      <w:hyperlink r:id="rId11">
        <w:r>
          <w:rPr>
            <w:rFonts w:ascii="Open Sans" w:eastAsia="Open Sans" w:hAnsi="Open Sans" w:cs="Open Sans"/>
            <w:color w:val="1155CC"/>
            <w:u w:val="single"/>
          </w:rPr>
          <w:t>http://www.secult.es.gov.br</w:t>
        </w:r>
      </w:hyperlink>
      <w:r>
        <w:rPr>
          <w:rFonts w:ascii="Open Sans" w:eastAsia="Open Sans" w:hAnsi="Open Sans" w:cs="Open Sans"/>
        </w:rPr>
        <w:t xml:space="preserve">. Do site da SECULT a OSC proponente será direcionada para a plataforma virtual Mapa Cultural do Espírito Santo, no endereço eletrônico: </w:t>
      </w:r>
      <w:hyperlink r:id="rId12">
        <w:r>
          <w:rPr>
            <w:rFonts w:ascii="Open Sans" w:eastAsia="Open Sans" w:hAnsi="Open Sans" w:cs="Open Sans"/>
            <w:color w:val="1155CC"/>
            <w:u w:val="single"/>
          </w:rPr>
          <w:t>https://mapa.cultura.es.gov.br</w:t>
        </w:r>
      </w:hyperlink>
      <w:r>
        <w:rPr>
          <w:rFonts w:ascii="Open Sans" w:eastAsia="Open Sans" w:hAnsi="Open Sans" w:cs="Open Sans"/>
        </w:rPr>
        <w:t>, onde as propostas das OSCs interessadas serão inscritas.</w:t>
      </w:r>
    </w:p>
    <w:p w:rsidR="00D14E29" w:rsidRDefault="00D14E29">
      <w:pPr>
        <w:widowControl w:val="0"/>
        <w:spacing w:after="0" w:line="276" w:lineRule="auto"/>
        <w:jc w:val="both"/>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 xml:space="preserve">As dúvidas podem ser enviadas por e-mail para o endereço </w:t>
      </w:r>
      <w:hyperlink r:id="rId13">
        <w:r>
          <w:rPr>
            <w:rFonts w:ascii="Open Sans" w:eastAsia="Open Sans" w:hAnsi="Open Sans" w:cs="Open Sans"/>
            <w:color w:val="1155CC"/>
            <w:u w:val="single"/>
          </w:rPr>
          <w:t>bpes@secult.es.gov.br</w:t>
        </w:r>
      </w:hyperlink>
      <w:r>
        <w:rPr>
          <w:rFonts w:ascii="Open Sans" w:eastAsia="Open Sans" w:hAnsi="Open Sans" w:cs="Open Sans"/>
        </w:rPr>
        <w:t xml:space="preserve"> ou pelo WhatsApp 27 99902-1638.</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10.</w:t>
      </w:r>
      <w:r>
        <w:rPr>
          <w:rFonts w:ascii="Open Sans" w:eastAsia="Open Sans" w:hAnsi="Open Sans" w:cs="Open Sans"/>
        </w:rPr>
        <w:t xml:space="preserve"> COMISSÃO DE SELEÇÃO</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 xml:space="preserve">A seleção da organização da sociedade civil será feita por uma comissão indicada pelo Secretário de Estado da Cultura. </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11. PRAZO DE VALIDADE DO RESULTADO DO EDITAL E VIGÊNCIA DA PARCERIA</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 xml:space="preserve">O Termo de Colaboração oriundo deste edital </w:t>
      </w:r>
      <w:r>
        <w:rPr>
          <w:rFonts w:ascii="Open Sans" w:eastAsia="Open Sans" w:hAnsi="Open Sans" w:cs="Open Sans"/>
        </w:rPr>
        <w:t>de chamamento público deverá ter vigência a partir do primeiro dia seguinte ao da publicação de seus extratos no Diário Oficial do Estado até o máximo de 12 (doze) meses, podendo ser prorrogados de acordo com a necessidade, mediante termo aditivo.</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12. ATU</w:t>
      </w:r>
      <w:r>
        <w:rPr>
          <w:rFonts w:ascii="Open Sans" w:eastAsia="Open Sans" w:hAnsi="Open Sans" w:cs="Open Sans"/>
        </w:rPr>
        <w:t>AÇÃO EM REDE</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 parceria a ser celebrada por meio do presente processo de chamamento público permite a atuação em rede, nos termos do art. 35-A da Lei n. 13.019/2014.</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13. USO DE BENS PÚBLICOS</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Poderão ser utilizados, conforme disponibilidade avaliada pela</w:t>
      </w:r>
      <w:r>
        <w:rPr>
          <w:rFonts w:ascii="Open Sans" w:eastAsia="Open Sans" w:hAnsi="Open Sans" w:cs="Open Sans"/>
        </w:rPr>
        <w:t xml:space="preserve"> SECULT, bens públicos necessários à execução da parceria, tais como equipamentos e espaço da Biblioteca Pública Estadual e de bibliotecas integrantes do Sistema Estadual de Bibliotecas Públicas (SEBP-ES) que forem sede das ações de mediação cultural.</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14.</w:t>
      </w:r>
      <w:r>
        <w:rPr>
          <w:rFonts w:ascii="Open Sans" w:eastAsia="Open Sans" w:hAnsi="Open Sans" w:cs="Open Sans"/>
        </w:rPr>
        <w:t xml:space="preserve"> CONTRAPARTIDA</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 OSC deverá propor ações de contrapartida que serão analisadas e pontuadas pela Secretaria de Estado da Cultura.</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15. TITULARIDADE DE BENS ADQUIRIDOS, PRODUZIDOS OU TRANSFORMADOS COM RECURSOS DA PARCERIA</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Uma contrapartida em bens e serviços será exigida da OSC mais bem classificada, convocada e celebrante, bem como o cumprimento do Plano de Trabalho apresentado no momento da celebração do Termo de Colaboração. Assim, todo o acervo adquirido para a execução</w:t>
      </w:r>
      <w:r>
        <w:rPr>
          <w:rFonts w:ascii="Open Sans" w:eastAsia="Open Sans" w:hAnsi="Open Sans" w:cs="Open Sans"/>
        </w:rPr>
        <w:t xml:space="preserve"> das atividades previstas no item 3 desta nota técnica deve ser listado e doado às bibliotecas e pontos de leitura integrantes do projeto, sendo 10% do total destinados ao Sistema Estadual de Bibliotecas Públicas (SEBP-ES).</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16. CAPTAÇÃO DE RECURSOS COMPLE</w:t>
      </w:r>
      <w:r>
        <w:rPr>
          <w:rFonts w:ascii="Open Sans" w:eastAsia="Open Sans" w:hAnsi="Open Sans" w:cs="Open Sans"/>
        </w:rPr>
        <w:t>MENTARES</w:t>
      </w:r>
    </w:p>
    <w:p w:rsidR="00D14E29" w:rsidRDefault="00D14E29">
      <w:pPr>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 xml:space="preserve">A captação de recursos complementares poderá ser feita por meio de parcerias ou patrocínios da iniciativa privada, que deverão ser revertidos na realização de atividades extras às previstas no plano de trabalho. </w:t>
      </w:r>
    </w:p>
    <w:p w:rsidR="00D14E29" w:rsidRDefault="00D14E29">
      <w:pPr>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Estes recursos também poderão se</w:t>
      </w:r>
      <w:r>
        <w:rPr>
          <w:rFonts w:ascii="Open Sans" w:eastAsia="Open Sans" w:hAnsi="Open Sans" w:cs="Open Sans"/>
        </w:rPr>
        <w:t xml:space="preserve">r utilizados na execução de ações e/ou aquisição de equipamentos voltados para os planos de sustentabilidade, preservação </w:t>
      </w:r>
      <w:proofErr w:type="gramStart"/>
      <w:r>
        <w:rPr>
          <w:rFonts w:ascii="Open Sans" w:eastAsia="Open Sans" w:hAnsi="Open Sans" w:cs="Open Sans"/>
        </w:rPr>
        <w:t>ambiental,  inovação</w:t>
      </w:r>
      <w:proofErr w:type="gramEnd"/>
      <w:r>
        <w:rPr>
          <w:rFonts w:ascii="Open Sans" w:eastAsia="Open Sans" w:hAnsi="Open Sans" w:cs="Open Sans"/>
        </w:rPr>
        <w:t xml:space="preserve"> ou outros temas pertinentes, previamente aprovados pela SECULT.</w:t>
      </w:r>
    </w:p>
    <w:p w:rsidR="00D14E29" w:rsidRDefault="00D14E29">
      <w:pPr>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A proposta de recursos complementares poderá ser</w:t>
      </w:r>
      <w:r>
        <w:rPr>
          <w:rFonts w:ascii="Open Sans" w:eastAsia="Open Sans" w:hAnsi="Open Sans" w:cs="Open Sans"/>
        </w:rPr>
        <w:t xml:space="preserve"> apresentada no Plano de Trabalho da OSC ou submetida posteriormente à aprovação </w:t>
      </w:r>
    </w:p>
    <w:p w:rsidR="00D14E29" w:rsidRDefault="00D14E29">
      <w:pPr>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As novas parcerias e patrocínios poderão ensejar a execução de atividades complementares às constantes desta Nota Técnica, desde que:</w:t>
      </w:r>
    </w:p>
    <w:p w:rsidR="00D14E29" w:rsidRDefault="00D83979">
      <w:pPr>
        <w:spacing w:after="0" w:line="276" w:lineRule="auto"/>
        <w:rPr>
          <w:rFonts w:ascii="Open Sans" w:eastAsia="Open Sans" w:hAnsi="Open Sans" w:cs="Open Sans"/>
        </w:rPr>
      </w:pPr>
      <w:proofErr w:type="gramStart"/>
      <w:r>
        <w:rPr>
          <w:rFonts w:ascii="Open Sans" w:eastAsia="Open Sans" w:hAnsi="Open Sans" w:cs="Open Sans"/>
        </w:rPr>
        <w:t>I) Não</w:t>
      </w:r>
      <w:proofErr w:type="gramEnd"/>
      <w:r>
        <w:rPr>
          <w:rFonts w:ascii="Open Sans" w:eastAsia="Open Sans" w:hAnsi="Open Sans" w:cs="Open Sans"/>
        </w:rPr>
        <w:t xml:space="preserve"> alterem o escopo inicial do Plan</w:t>
      </w:r>
      <w:r>
        <w:rPr>
          <w:rFonts w:ascii="Open Sans" w:eastAsia="Open Sans" w:hAnsi="Open Sans" w:cs="Open Sans"/>
        </w:rPr>
        <w:t>o de Trabalho acordado, apenas adicionem atividades;</w:t>
      </w:r>
    </w:p>
    <w:p w:rsidR="00D14E29" w:rsidRDefault="00D83979">
      <w:pPr>
        <w:spacing w:after="0" w:line="276" w:lineRule="auto"/>
        <w:rPr>
          <w:rFonts w:ascii="Open Sans" w:eastAsia="Open Sans" w:hAnsi="Open Sans" w:cs="Open Sans"/>
        </w:rPr>
      </w:pPr>
      <w:proofErr w:type="gramStart"/>
      <w:r>
        <w:rPr>
          <w:rFonts w:ascii="Open Sans" w:eastAsia="Open Sans" w:hAnsi="Open Sans" w:cs="Open Sans"/>
        </w:rPr>
        <w:t>II) Sejam</w:t>
      </w:r>
      <w:proofErr w:type="gramEnd"/>
      <w:r>
        <w:rPr>
          <w:rFonts w:ascii="Open Sans" w:eastAsia="Open Sans" w:hAnsi="Open Sans" w:cs="Open Sans"/>
        </w:rPr>
        <w:t xml:space="preserve"> concluídas até o final da vigência do Termo de Colaboração.</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17. DA DIVULGAÇÃO DOS OBJETOS DA PARCERIA</w:t>
      </w:r>
    </w:p>
    <w:p w:rsidR="00D14E29" w:rsidRDefault="00D14E29">
      <w:pPr>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É obrigatório constar, em todo material de comunicação e divulgação (impresso, virtual, d</w:t>
      </w:r>
      <w:r>
        <w:rPr>
          <w:rFonts w:ascii="Open Sans" w:eastAsia="Open Sans" w:hAnsi="Open Sans" w:cs="Open Sans"/>
        </w:rPr>
        <w:t>e áudio e audiovisual) as marcas que identificam a parceria, conforme critérios e orientações contidos no Manual de Identidade Visual disponibilizado pela Secult em seu site.</w:t>
      </w:r>
    </w:p>
    <w:p w:rsidR="00D14E29" w:rsidRDefault="00D14E29">
      <w:pPr>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Além da inserção das logomarcas, a OSC também deverá, obrigatoriamente, menciona</w:t>
      </w:r>
      <w:r>
        <w:rPr>
          <w:rFonts w:ascii="Open Sans" w:eastAsia="Open Sans" w:hAnsi="Open Sans" w:cs="Open Sans"/>
        </w:rPr>
        <w:t>r em suas peças de divulgação em mídias eletrônicas e/ou digitais (rádio, TV, internet), quando utilizadas, em seus eventos ligados ao programa (na abertura e/ou no encerramento), e nos produtos gerados (apostila, áudio e vídeo, DVD, Livro, Catálogo) a exp</w:t>
      </w:r>
      <w:r>
        <w:rPr>
          <w:rFonts w:ascii="Open Sans" w:eastAsia="Open Sans" w:hAnsi="Open Sans" w:cs="Open Sans"/>
        </w:rPr>
        <w:t>ressão: este projeto é uma realização da Secretaria de Estado da Cultura, por meio de parceria com a OSC em questão.</w:t>
      </w:r>
    </w:p>
    <w:p w:rsidR="00D14E29" w:rsidRDefault="00D14E29">
      <w:pPr>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 xml:space="preserve">Todas as artes referentes aos materiais de divulgação e aos materiais gerados pelo programa devem ser enviadas para aprovação prévia para </w:t>
      </w:r>
      <w:r>
        <w:rPr>
          <w:rFonts w:ascii="Open Sans" w:eastAsia="Open Sans" w:hAnsi="Open Sans" w:cs="Open Sans"/>
        </w:rPr>
        <w:t>o e-mail brasao@secult.es.gov.br. O prazo para análise será de 3 (três) dias.</w:t>
      </w:r>
    </w:p>
    <w:p w:rsidR="00D14E29" w:rsidRDefault="00D14E29">
      <w:pPr>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18. DO ACOMPANHAMENTO DA PARCERIA</w:t>
      </w:r>
    </w:p>
    <w:p w:rsidR="00D14E29" w:rsidRDefault="00D14E29">
      <w:pPr>
        <w:spacing w:after="0" w:line="276" w:lineRule="auto"/>
        <w:rPr>
          <w:rFonts w:ascii="Open Sans" w:eastAsia="Open Sans" w:hAnsi="Open Sans" w:cs="Open Sans"/>
        </w:rPr>
      </w:pPr>
    </w:p>
    <w:p w:rsidR="00D14E29" w:rsidRDefault="00D83979">
      <w:pPr>
        <w:spacing w:after="0" w:line="276" w:lineRule="auto"/>
        <w:rPr>
          <w:rFonts w:ascii="Open Sans" w:eastAsia="Open Sans" w:hAnsi="Open Sans" w:cs="Open Sans"/>
        </w:rPr>
      </w:pPr>
      <w:r>
        <w:rPr>
          <w:rFonts w:ascii="Open Sans" w:eastAsia="Open Sans" w:hAnsi="Open Sans" w:cs="Open Sans"/>
        </w:rPr>
        <w:t>A administração pública realizará o acompanhamento constante do andamento das ações e do cumprimento do objeto pactuado, com indicação de um g</w:t>
      </w:r>
      <w:r>
        <w:rPr>
          <w:rFonts w:ascii="Open Sans" w:eastAsia="Open Sans" w:hAnsi="Open Sans" w:cs="Open Sans"/>
        </w:rPr>
        <w:t>estor, e respectivo suplente, responsável pelo acompanhamento e fiscalização da execução desta parceria, na forma do artigo 61 da Lei Federal nº 13.019/2014; bem como relatórios mensais de execução das atividades.</w:t>
      </w:r>
    </w:p>
    <w:p w:rsidR="00D14E29" w:rsidRDefault="00D14E29">
      <w:pPr>
        <w:spacing w:after="0" w:line="276" w:lineRule="auto"/>
        <w:rPr>
          <w:rFonts w:ascii="Open Sans" w:eastAsia="Open Sans" w:hAnsi="Open Sans" w:cs="Open Sans"/>
        </w:rPr>
      </w:pPr>
    </w:p>
    <w:p w:rsidR="00D14E29" w:rsidRDefault="00D83979">
      <w:pPr>
        <w:widowControl w:val="0"/>
        <w:spacing w:after="0" w:line="276" w:lineRule="auto"/>
        <w:jc w:val="both"/>
        <w:rPr>
          <w:rFonts w:ascii="Open Sans" w:eastAsia="Open Sans" w:hAnsi="Open Sans" w:cs="Open Sans"/>
        </w:rPr>
      </w:pPr>
      <w:r>
        <w:rPr>
          <w:rFonts w:ascii="Open Sans" w:eastAsia="Open Sans" w:hAnsi="Open Sans" w:cs="Open Sans"/>
        </w:rPr>
        <w:t>ANEXO Lista de Territórios do Programa Estado Presente em Defesa da Vida</w:t>
      </w:r>
    </w:p>
    <w:p w:rsidR="00D14E29" w:rsidRDefault="00D14E29">
      <w:pPr>
        <w:widowControl w:val="0"/>
        <w:spacing w:after="0" w:line="276" w:lineRule="auto"/>
        <w:jc w:val="both"/>
        <w:rPr>
          <w:rFonts w:ascii="Open Sans" w:eastAsia="Open Sans" w:hAnsi="Open Sans" w:cs="Open Sans"/>
        </w:rPr>
      </w:pPr>
    </w:p>
    <w:tbl>
      <w:tblPr>
        <w:tblStyle w:val="afff4"/>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0"/>
        <w:gridCol w:w="4005"/>
        <w:gridCol w:w="1875"/>
      </w:tblGrid>
      <w:tr w:rsidR="00D14E29">
        <w:tc>
          <w:tcPr>
            <w:tcW w:w="3450" w:type="dxa"/>
            <w:shd w:val="clear" w:color="auto" w:fill="auto"/>
            <w:tcMar>
              <w:top w:w="100" w:type="dxa"/>
              <w:left w:w="100" w:type="dxa"/>
              <w:bottom w:w="100" w:type="dxa"/>
              <w:right w:w="100" w:type="dxa"/>
            </w:tcMar>
          </w:tcPr>
          <w:p w:rsidR="00D14E29" w:rsidRDefault="00D83979">
            <w:pPr>
              <w:spacing w:line="276" w:lineRule="auto"/>
              <w:jc w:val="center"/>
              <w:rPr>
                <w:rFonts w:ascii="Open Sans" w:eastAsia="Open Sans" w:hAnsi="Open Sans" w:cs="Open Sans"/>
              </w:rPr>
            </w:pPr>
            <w:r>
              <w:rPr>
                <w:rFonts w:ascii="Open Sans" w:eastAsia="Open Sans" w:hAnsi="Open Sans" w:cs="Open Sans"/>
              </w:rPr>
              <w:t>TERRITÓRIOS</w:t>
            </w:r>
          </w:p>
        </w:tc>
        <w:tc>
          <w:tcPr>
            <w:tcW w:w="4005" w:type="dxa"/>
            <w:shd w:val="clear" w:color="auto" w:fill="auto"/>
            <w:tcMar>
              <w:top w:w="100" w:type="dxa"/>
              <w:left w:w="100" w:type="dxa"/>
              <w:bottom w:w="100" w:type="dxa"/>
              <w:right w:w="100" w:type="dxa"/>
            </w:tcMar>
          </w:tcPr>
          <w:p w:rsidR="00D14E29" w:rsidRDefault="00D83979">
            <w:pPr>
              <w:widowControl w:val="0"/>
              <w:spacing w:line="276" w:lineRule="auto"/>
              <w:jc w:val="center"/>
              <w:rPr>
                <w:rFonts w:ascii="Open Sans" w:eastAsia="Open Sans" w:hAnsi="Open Sans" w:cs="Open Sans"/>
              </w:rPr>
            </w:pPr>
            <w:r>
              <w:rPr>
                <w:rFonts w:ascii="Open Sans" w:eastAsia="Open Sans" w:hAnsi="Open Sans" w:cs="Open Sans"/>
              </w:rPr>
              <w:t>BAIRROS</w:t>
            </w:r>
          </w:p>
        </w:tc>
        <w:tc>
          <w:tcPr>
            <w:tcW w:w="1875" w:type="dxa"/>
            <w:shd w:val="clear" w:color="auto" w:fill="auto"/>
            <w:tcMar>
              <w:top w:w="100" w:type="dxa"/>
              <w:left w:w="100" w:type="dxa"/>
              <w:bottom w:w="100" w:type="dxa"/>
              <w:right w:w="100" w:type="dxa"/>
            </w:tcMar>
          </w:tcPr>
          <w:p w:rsidR="00D14E29" w:rsidRDefault="00D83979">
            <w:pPr>
              <w:widowControl w:val="0"/>
              <w:spacing w:line="276" w:lineRule="auto"/>
              <w:jc w:val="center"/>
              <w:rPr>
                <w:rFonts w:ascii="Open Sans" w:eastAsia="Open Sans" w:hAnsi="Open Sans" w:cs="Open Sans"/>
              </w:rPr>
            </w:pPr>
            <w:r>
              <w:rPr>
                <w:rFonts w:ascii="Open Sans" w:eastAsia="Open Sans" w:hAnsi="Open Sans" w:cs="Open Sans"/>
              </w:rPr>
              <w:t>MUNICÍPIO</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São Pedro</w:t>
            </w:r>
          </w:p>
        </w:tc>
        <w:tc>
          <w:tcPr>
            <w:tcW w:w="4005"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 xml:space="preserve">São Pedro, </w:t>
            </w:r>
            <w:proofErr w:type="spellStart"/>
            <w:r>
              <w:rPr>
                <w:rFonts w:ascii="Open Sans" w:eastAsia="Open Sans" w:hAnsi="Open Sans" w:cs="Open Sans"/>
              </w:rPr>
              <w:t>Condusa</w:t>
            </w:r>
            <w:proofErr w:type="spellEnd"/>
            <w:r>
              <w:rPr>
                <w:rFonts w:ascii="Open Sans" w:eastAsia="Open Sans" w:hAnsi="Open Sans" w:cs="Open Sans"/>
              </w:rPr>
              <w:t>, Santos Reis, São José, Santo André, Ilha das Caieiras, Redenção, Conquista, Resistência e Nova Palestina</w:t>
            </w:r>
          </w:p>
        </w:tc>
        <w:tc>
          <w:tcPr>
            <w:tcW w:w="1875"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Vitória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Santo Antônio</w:t>
            </w:r>
          </w:p>
        </w:tc>
        <w:tc>
          <w:tcPr>
            <w:tcW w:w="4005"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proofErr w:type="spellStart"/>
            <w:r>
              <w:rPr>
                <w:rFonts w:ascii="Open Sans" w:eastAsia="Open Sans" w:hAnsi="Open Sans" w:cs="Open Sans"/>
              </w:rPr>
              <w:t>Inhanguetá</w:t>
            </w:r>
            <w:proofErr w:type="spellEnd"/>
            <w:r>
              <w:rPr>
                <w:rFonts w:ascii="Open Sans" w:eastAsia="Open Sans" w:hAnsi="Open Sans" w:cs="Open Sans"/>
              </w:rPr>
              <w:t>, Santo Antônio e Bela Vista</w:t>
            </w:r>
          </w:p>
        </w:tc>
        <w:tc>
          <w:tcPr>
            <w:tcW w:w="1875"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Vitória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Ilha do Príncipe</w:t>
            </w:r>
          </w:p>
        </w:tc>
        <w:tc>
          <w:tcPr>
            <w:tcW w:w="4005"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Ilha do Príncipe e Vila Rubim</w:t>
            </w:r>
          </w:p>
        </w:tc>
        <w:tc>
          <w:tcPr>
            <w:tcW w:w="1875"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Vitória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Bairro da Penha</w:t>
            </w:r>
          </w:p>
        </w:tc>
        <w:tc>
          <w:tcPr>
            <w:tcW w:w="4005" w:type="dxa"/>
            <w:shd w:val="clear" w:color="auto" w:fill="auto"/>
            <w:tcMar>
              <w:top w:w="100" w:type="dxa"/>
              <w:left w:w="100" w:type="dxa"/>
              <w:bottom w:w="100" w:type="dxa"/>
              <w:right w:w="100" w:type="dxa"/>
            </w:tcMar>
          </w:tcPr>
          <w:p w:rsidR="00D14E29" w:rsidRDefault="00D83979">
            <w:pPr>
              <w:widowControl w:val="0"/>
              <w:spacing w:line="276" w:lineRule="auto"/>
              <w:jc w:val="both"/>
              <w:rPr>
                <w:rFonts w:ascii="Open Sans" w:eastAsia="Open Sans" w:hAnsi="Open Sans" w:cs="Open Sans"/>
              </w:rPr>
            </w:pPr>
            <w:r>
              <w:rPr>
                <w:rFonts w:ascii="Open Sans" w:eastAsia="Open Sans" w:hAnsi="Open Sans" w:cs="Open Sans"/>
              </w:rPr>
              <w:t xml:space="preserve">Bairro da Penha, Bonfim, São Benedito, Consolação, </w:t>
            </w:r>
            <w:proofErr w:type="spellStart"/>
            <w:r>
              <w:rPr>
                <w:rFonts w:ascii="Open Sans" w:eastAsia="Open Sans" w:hAnsi="Open Sans" w:cs="Open Sans"/>
              </w:rPr>
              <w:t>Gurigica</w:t>
            </w:r>
            <w:proofErr w:type="spellEnd"/>
            <w:r>
              <w:rPr>
                <w:rFonts w:ascii="Open Sans" w:eastAsia="Open Sans" w:hAnsi="Open Sans" w:cs="Open Sans"/>
              </w:rPr>
              <w:t xml:space="preserve"> e Itararé</w:t>
            </w:r>
          </w:p>
        </w:tc>
        <w:tc>
          <w:tcPr>
            <w:tcW w:w="1875" w:type="dxa"/>
            <w:shd w:val="clear" w:color="auto" w:fill="auto"/>
            <w:tcMar>
              <w:top w:w="100" w:type="dxa"/>
              <w:left w:w="100" w:type="dxa"/>
              <w:bottom w:w="100" w:type="dxa"/>
              <w:right w:w="100" w:type="dxa"/>
            </w:tcMar>
          </w:tcPr>
          <w:p w:rsidR="00D14E29" w:rsidRDefault="00D83979">
            <w:pPr>
              <w:widowControl w:val="0"/>
              <w:spacing w:line="276" w:lineRule="auto"/>
              <w:jc w:val="both"/>
              <w:rPr>
                <w:rFonts w:ascii="Open Sans" w:eastAsia="Open Sans" w:hAnsi="Open Sans" w:cs="Open Sans"/>
              </w:rPr>
            </w:pPr>
            <w:r>
              <w:rPr>
                <w:rFonts w:ascii="Open Sans" w:eastAsia="Open Sans" w:hAnsi="Open Sans" w:cs="Open Sans"/>
              </w:rPr>
              <w:t>Vitória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Piedade</w:t>
            </w:r>
          </w:p>
        </w:tc>
        <w:tc>
          <w:tcPr>
            <w:tcW w:w="4005" w:type="dxa"/>
            <w:shd w:val="clear" w:color="auto" w:fill="auto"/>
            <w:tcMar>
              <w:top w:w="100" w:type="dxa"/>
              <w:left w:w="100" w:type="dxa"/>
              <w:bottom w:w="100" w:type="dxa"/>
              <w:right w:w="100" w:type="dxa"/>
            </w:tcMar>
          </w:tcPr>
          <w:p w:rsidR="00D14E29" w:rsidRDefault="00D83979">
            <w:pPr>
              <w:widowControl w:val="0"/>
              <w:spacing w:line="276" w:lineRule="auto"/>
              <w:jc w:val="both"/>
              <w:rPr>
                <w:rFonts w:ascii="Open Sans" w:eastAsia="Open Sans" w:hAnsi="Open Sans" w:cs="Open Sans"/>
              </w:rPr>
            </w:pPr>
            <w:r>
              <w:rPr>
                <w:rFonts w:ascii="Open Sans" w:eastAsia="Open Sans" w:hAnsi="Open Sans" w:cs="Open Sans"/>
              </w:rPr>
              <w:t>Piedade, Moscoso, Fonte Grande e Capixaba</w:t>
            </w:r>
          </w:p>
        </w:tc>
        <w:tc>
          <w:tcPr>
            <w:tcW w:w="1875" w:type="dxa"/>
            <w:shd w:val="clear" w:color="auto" w:fill="auto"/>
            <w:tcMar>
              <w:top w:w="100" w:type="dxa"/>
              <w:left w:w="100" w:type="dxa"/>
              <w:bottom w:w="100" w:type="dxa"/>
              <w:right w:w="100" w:type="dxa"/>
            </w:tcMar>
          </w:tcPr>
          <w:p w:rsidR="00D14E29" w:rsidRDefault="00D83979">
            <w:pPr>
              <w:widowControl w:val="0"/>
              <w:spacing w:line="276" w:lineRule="auto"/>
              <w:jc w:val="both"/>
              <w:rPr>
                <w:rFonts w:ascii="Open Sans" w:eastAsia="Open Sans" w:hAnsi="Open Sans" w:cs="Open Sans"/>
              </w:rPr>
            </w:pPr>
            <w:r>
              <w:rPr>
                <w:rFonts w:ascii="Open Sans" w:eastAsia="Open Sans" w:hAnsi="Open Sans" w:cs="Open Sans"/>
              </w:rPr>
              <w:t>Vitória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Terra Vermelha</w:t>
            </w:r>
          </w:p>
        </w:tc>
        <w:tc>
          <w:tcPr>
            <w:tcW w:w="4005" w:type="dxa"/>
            <w:shd w:val="clear" w:color="auto" w:fill="auto"/>
            <w:tcMar>
              <w:top w:w="100" w:type="dxa"/>
              <w:left w:w="100" w:type="dxa"/>
              <w:bottom w:w="100" w:type="dxa"/>
              <w:right w:w="100" w:type="dxa"/>
            </w:tcMar>
          </w:tcPr>
          <w:p w:rsidR="00D14E29" w:rsidRDefault="00D83979">
            <w:pPr>
              <w:widowControl w:val="0"/>
              <w:spacing w:line="276" w:lineRule="auto"/>
              <w:jc w:val="both"/>
              <w:rPr>
                <w:rFonts w:ascii="Open Sans" w:eastAsia="Open Sans" w:hAnsi="Open Sans" w:cs="Open Sans"/>
              </w:rPr>
            </w:pPr>
            <w:proofErr w:type="spellStart"/>
            <w:r>
              <w:rPr>
                <w:rFonts w:ascii="Open Sans" w:eastAsia="Open Sans" w:hAnsi="Open Sans" w:cs="Open Sans"/>
              </w:rPr>
              <w:t>Barramares</w:t>
            </w:r>
            <w:proofErr w:type="spellEnd"/>
            <w:r>
              <w:rPr>
                <w:rFonts w:ascii="Open Sans" w:eastAsia="Open Sans" w:hAnsi="Open Sans" w:cs="Open Sans"/>
              </w:rPr>
              <w:t xml:space="preserve">, Ulisses Guimarães, Morada da Barra, João Goulart, Riviera da Barra, Vinte e Três de Maio, Residencial </w:t>
            </w:r>
            <w:proofErr w:type="spellStart"/>
            <w:r>
              <w:rPr>
                <w:rFonts w:ascii="Open Sans" w:eastAsia="Open Sans" w:hAnsi="Open Sans" w:cs="Open Sans"/>
              </w:rPr>
              <w:t>Jabaeté</w:t>
            </w:r>
            <w:proofErr w:type="spellEnd"/>
            <w:r>
              <w:rPr>
                <w:rFonts w:ascii="Open Sans" w:eastAsia="Open Sans" w:hAnsi="Open Sans" w:cs="Open Sans"/>
              </w:rPr>
              <w:t xml:space="preserve">, Cidade da Barra, São Conrado, </w:t>
            </w:r>
            <w:proofErr w:type="spellStart"/>
            <w:r>
              <w:rPr>
                <w:rFonts w:ascii="Open Sans" w:eastAsia="Open Sans" w:hAnsi="Open Sans" w:cs="Open Sans"/>
              </w:rPr>
              <w:t>Normília</w:t>
            </w:r>
            <w:proofErr w:type="spellEnd"/>
            <w:r>
              <w:rPr>
                <w:rFonts w:ascii="Open Sans" w:eastAsia="Open Sans" w:hAnsi="Open Sans" w:cs="Open Sans"/>
              </w:rPr>
              <w:t xml:space="preserve"> da Cunha, Terra Vermelha</w:t>
            </w:r>
          </w:p>
        </w:tc>
        <w:tc>
          <w:tcPr>
            <w:tcW w:w="1875" w:type="dxa"/>
            <w:shd w:val="clear" w:color="auto" w:fill="auto"/>
            <w:tcMar>
              <w:top w:w="100" w:type="dxa"/>
              <w:left w:w="100" w:type="dxa"/>
              <w:bottom w:w="100" w:type="dxa"/>
              <w:right w:w="100" w:type="dxa"/>
            </w:tcMar>
          </w:tcPr>
          <w:p w:rsidR="00D14E29" w:rsidRDefault="00D83979">
            <w:pPr>
              <w:widowControl w:val="0"/>
              <w:spacing w:line="276" w:lineRule="auto"/>
              <w:jc w:val="both"/>
              <w:rPr>
                <w:rFonts w:ascii="Open Sans" w:eastAsia="Open Sans" w:hAnsi="Open Sans" w:cs="Open Sans"/>
              </w:rPr>
            </w:pPr>
            <w:r>
              <w:rPr>
                <w:rFonts w:ascii="Open Sans" w:eastAsia="Open Sans" w:hAnsi="Open Sans" w:cs="Open Sans"/>
              </w:rPr>
              <w:t>Vila Velha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Santa Rita</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Santa Rita, Primeiro de Maio, Alecrim, Vila Garrido, Zumbi dos Palmares, Ilha da Conceição e Pedra dos Búzios</w:t>
            </w:r>
          </w:p>
        </w:tc>
        <w:tc>
          <w:tcPr>
            <w:tcW w:w="1875" w:type="dxa"/>
            <w:shd w:val="clear" w:color="auto" w:fill="auto"/>
            <w:tcMar>
              <w:top w:w="100" w:type="dxa"/>
              <w:left w:w="100" w:type="dxa"/>
              <w:bottom w:w="100" w:type="dxa"/>
              <w:right w:w="100" w:type="dxa"/>
            </w:tcMar>
          </w:tcPr>
          <w:p w:rsidR="00D14E29" w:rsidRDefault="00D83979">
            <w:pPr>
              <w:widowControl w:val="0"/>
              <w:spacing w:line="276" w:lineRule="auto"/>
              <w:jc w:val="both"/>
              <w:rPr>
                <w:rFonts w:ascii="Open Sans" w:eastAsia="Open Sans" w:hAnsi="Open Sans" w:cs="Open Sans"/>
              </w:rPr>
            </w:pPr>
            <w:r>
              <w:rPr>
                <w:rFonts w:ascii="Open Sans" w:eastAsia="Open Sans" w:hAnsi="Open Sans" w:cs="Open Sans"/>
              </w:rPr>
              <w:t>Vila Velha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São Torquato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 xml:space="preserve">São Torquato, </w:t>
            </w:r>
            <w:proofErr w:type="spellStart"/>
            <w:r>
              <w:rPr>
                <w:rFonts w:ascii="Open Sans" w:eastAsia="Open Sans" w:hAnsi="Open Sans" w:cs="Open Sans"/>
              </w:rPr>
              <w:t>Cobi</w:t>
            </w:r>
            <w:proofErr w:type="spellEnd"/>
            <w:r>
              <w:rPr>
                <w:rFonts w:ascii="Open Sans" w:eastAsia="Open Sans" w:hAnsi="Open Sans" w:cs="Open Sans"/>
              </w:rPr>
              <w:t xml:space="preserve"> de Baixo, </w:t>
            </w:r>
            <w:proofErr w:type="spellStart"/>
            <w:r>
              <w:rPr>
                <w:rFonts w:ascii="Open Sans" w:eastAsia="Open Sans" w:hAnsi="Open Sans" w:cs="Open Sans"/>
              </w:rPr>
              <w:t>Cobi</w:t>
            </w:r>
            <w:proofErr w:type="spellEnd"/>
            <w:r>
              <w:rPr>
                <w:rFonts w:ascii="Open Sans" w:eastAsia="Open Sans" w:hAnsi="Open Sans" w:cs="Open Sans"/>
              </w:rPr>
              <w:t xml:space="preserve"> de Cima, Argolas, Sagrada Família e Chácara do Conde</w:t>
            </w:r>
          </w:p>
        </w:tc>
        <w:tc>
          <w:tcPr>
            <w:tcW w:w="1875" w:type="dxa"/>
            <w:shd w:val="clear" w:color="auto" w:fill="auto"/>
            <w:tcMar>
              <w:top w:w="100" w:type="dxa"/>
              <w:left w:w="100" w:type="dxa"/>
              <w:bottom w:w="100" w:type="dxa"/>
              <w:right w:w="100" w:type="dxa"/>
            </w:tcMar>
          </w:tcPr>
          <w:p w:rsidR="00D14E29" w:rsidRDefault="00D83979">
            <w:pPr>
              <w:widowControl w:val="0"/>
              <w:spacing w:line="276" w:lineRule="auto"/>
              <w:jc w:val="both"/>
              <w:rPr>
                <w:rFonts w:ascii="Open Sans" w:eastAsia="Open Sans" w:hAnsi="Open Sans" w:cs="Open Sans"/>
              </w:rPr>
            </w:pPr>
            <w:r>
              <w:rPr>
                <w:rFonts w:ascii="Open Sans" w:eastAsia="Open Sans" w:hAnsi="Open Sans" w:cs="Open Sans"/>
              </w:rPr>
              <w:t>Vila Velha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Soteco</w:t>
            </w:r>
            <w:proofErr w:type="spellEnd"/>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 xml:space="preserve">Divino Espírito Santo, </w:t>
            </w:r>
            <w:proofErr w:type="spellStart"/>
            <w:r>
              <w:rPr>
                <w:rFonts w:ascii="Open Sans" w:eastAsia="Open Sans" w:hAnsi="Open Sans" w:cs="Open Sans"/>
              </w:rPr>
              <w:t>Soteco</w:t>
            </w:r>
            <w:proofErr w:type="spellEnd"/>
            <w:r>
              <w:rPr>
                <w:rFonts w:ascii="Open Sans" w:eastAsia="Open Sans" w:hAnsi="Open Sans" w:cs="Open Sans"/>
              </w:rPr>
              <w:t>, Ilha dos Aires, Vista da Penha, Cristóvão Colombo, Boa Vista 1 e Boa Vista II</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Vila Velha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Feu</w:t>
            </w:r>
            <w:proofErr w:type="spellEnd"/>
            <w:r>
              <w:rPr>
                <w:rFonts w:ascii="Open Sans" w:eastAsia="Open Sans" w:hAnsi="Open Sans" w:cs="Open Sans"/>
              </w:rPr>
              <w:t xml:space="preserve"> Rosa</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Feu</w:t>
            </w:r>
            <w:proofErr w:type="spellEnd"/>
            <w:r>
              <w:rPr>
                <w:rFonts w:ascii="Open Sans" w:eastAsia="Open Sans" w:hAnsi="Open Sans" w:cs="Open Sans"/>
              </w:rPr>
              <w:t xml:space="preserve"> Rosa, Vila Nova de Colares e </w:t>
            </w:r>
            <w:proofErr w:type="spellStart"/>
            <w:r>
              <w:rPr>
                <w:rFonts w:ascii="Open Sans" w:eastAsia="Open Sans" w:hAnsi="Open Sans" w:cs="Open Sans"/>
              </w:rPr>
              <w:t>Ourimar</w:t>
            </w:r>
            <w:proofErr w:type="spellEnd"/>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Serra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Carapina</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 xml:space="preserve">Central Carapina, Jardim Carapina, Carapina Grande, Carapina e André </w:t>
            </w:r>
            <w:proofErr w:type="spellStart"/>
            <w:r>
              <w:rPr>
                <w:rFonts w:ascii="Open Sans" w:eastAsia="Open Sans" w:hAnsi="Open Sans" w:cs="Open Sans"/>
              </w:rPr>
              <w:t>Carloni</w:t>
            </w:r>
            <w:proofErr w:type="spellEnd"/>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Serra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Planalto Serrano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Planalto Serrano, Campinho da Serra I e Campinho da Serra II</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Serra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Jacaraípe</w:t>
            </w:r>
            <w:proofErr w:type="spellEnd"/>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 xml:space="preserve">Bairro das Laranjeiras, Enseada de </w:t>
            </w:r>
            <w:proofErr w:type="spellStart"/>
            <w:r>
              <w:rPr>
                <w:rFonts w:ascii="Open Sans" w:eastAsia="Open Sans" w:hAnsi="Open Sans" w:cs="Open Sans"/>
              </w:rPr>
              <w:t>Jacaraípe</w:t>
            </w:r>
            <w:proofErr w:type="spellEnd"/>
            <w:r>
              <w:rPr>
                <w:rFonts w:ascii="Open Sans" w:eastAsia="Open Sans" w:hAnsi="Open Sans" w:cs="Open Sans"/>
              </w:rPr>
              <w:t xml:space="preserve">, São Francisco, Lagoa de </w:t>
            </w:r>
            <w:proofErr w:type="spellStart"/>
            <w:r>
              <w:rPr>
                <w:rFonts w:ascii="Open Sans" w:eastAsia="Open Sans" w:hAnsi="Open Sans" w:cs="Open Sans"/>
              </w:rPr>
              <w:t>Jacaraípe</w:t>
            </w:r>
            <w:proofErr w:type="spellEnd"/>
            <w:r>
              <w:rPr>
                <w:rFonts w:ascii="Open Sans" w:eastAsia="Open Sans" w:hAnsi="Open Sans" w:cs="Open Sans"/>
              </w:rPr>
              <w:t xml:space="preserve">, Residencial </w:t>
            </w:r>
            <w:proofErr w:type="spellStart"/>
            <w:r>
              <w:rPr>
                <w:rFonts w:ascii="Open Sans" w:eastAsia="Open Sans" w:hAnsi="Open Sans" w:cs="Open Sans"/>
              </w:rPr>
              <w:t>Jacaraípe</w:t>
            </w:r>
            <w:proofErr w:type="spellEnd"/>
            <w:r>
              <w:rPr>
                <w:rFonts w:ascii="Open Sans" w:eastAsia="Open Sans" w:hAnsi="Open Sans" w:cs="Open Sans"/>
              </w:rPr>
              <w:t xml:space="preserve">, Jardim Atlântico, Costa Dourada, Estância Monazítica, São Patrício e Parque </w:t>
            </w:r>
            <w:proofErr w:type="spellStart"/>
            <w:r>
              <w:rPr>
                <w:rFonts w:ascii="Open Sans" w:eastAsia="Open Sans" w:hAnsi="Open Sans" w:cs="Open Sans"/>
              </w:rPr>
              <w:t>Jacaraípe</w:t>
            </w:r>
            <w:proofErr w:type="spellEnd"/>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Serra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Novo Horizonte</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Novo Horizonte</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Serra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Flexal</w:t>
            </w:r>
            <w:proofErr w:type="spellEnd"/>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Flexal</w:t>
            </w:r>
            <w:proofErr w:type="spellEnd"/>
            <w:r>
              <w:rPr>
                <w:rFonts w:ascii="Open Sans" w:eastAsia="Open Sans" w:hAnsi="Open Sans" w:cs="Open Sans"/>
              </w:rPr>
              <w:t xml:space="preserve"> I e </w:t>
            </w:r>
            <w:proofErr w:type="spellStart"/>
            <w:r>
              <w:rPr>
                <w:rFonts w:ascii="Open Sans" w:eastAsia="Open Sans" w:hAnsi="Open Sans" w:cs="Open Sans"/>
              </w:rPr>
              <w:t>Flexal</w:t>
            </w:r>
            <w:proofErr w:type="spellEnd"/>
            <w:r>
              <w:rPr>
                <w:rFonts w:ascii="Open Sans" w:eastAsia="Open Sans" w:hAnsi="Open Sans" w:cs="Open Sans"/>
              </w:rPr>
              <w:t xml:space="preserve"> II</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Cariacica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Padre Gabriel</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Padre Gabriel</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Cariacica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Castelo Branco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 xml:space="preserve">Castelo Branco, Rio Marinho, Jardim de </w:t>
            </w:r>
            <w:proofErr w:type="spellStart"/>
            <w:r>
              <w:rPr>
                <w:rFonts w:ascii="Open Sans" w:eastAsia="Open Sans" w:hAnsi="Open Sans" w:cs="Open Sans"/>
              </w:rPr>
              <w:t>Alah</w:t>
            </w:r>
            <w:proofErr w:type="spellEnd"/>
            <w:r>
              <w:rPr>
                <w:rFonts w:ascii="Open Sans" w:eastAsia="Open Sans" w:hAnsi="Open Sans" w:cs="Open Sans"/>
              </w:rPr>
              <w:t xml:space="preserve"> e Alzira Ramos</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Cariacica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Nova Rosa da Penha</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Nova Rosa da Penha, Nova Rosa da Penha II e Nova Esperança</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Cariacica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Bandeirantes</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Bandeirantes, Maracanã, Vila Isabel, Vista Mar, Vale Marinho, Ipiranga, São Rafael, São Bernardo e Loteamento Cordovil</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Cariacica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Jabaraí</w:t>
            </w:r>
            <w:proofErr w:type="spellEnd"/>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Jabaraí</w:t>
            </w:r>
            <w:proofErr w:type="spellEnd"/>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Guarapari</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Adalberto Simão Nader</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Adalberto Simão Nader</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Guarapari</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Kubitschek</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Coroado e Kubitschek</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Guarapari</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Jacupemba</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Jacupemba</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Aracruz</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Vila do Riacho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Vila do Riacho</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Aracruz</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Barra do Riacho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Barra do Riacho</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Aracruz</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Guaraná</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Guaraná</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Aracruz</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Bela Vista</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 xml:space="preserve">Bela Vista, </w:t>
            </w:r>
            <w:proofErr w:type="gramStart"/>
            <w:r>
              <w:rPr>
                <w:rFonts w:ascii="Open Sans" w:eastAsia="Open Sans" w:hAnsi="Open Sans" w:cs="Open Sans"/>
              </w:rPr>
              <w:t xml:space="preserve">Fátima, </w:t>
            </w:r>
            <w:proofErr w:type="spellStart"/>
            <w:r>
              <w:rPr>
                <w:rFonts w:ascii="Open Sans" w:eastAsia="Open Sans" w:hAnsi="Open Sans" w:cs="Open Sans"/>
              </w:rPr>
              <w:t>Segatto</w:t>
            </w:r>
            <w:proofErr w:type="spellEnd"/>
            <w:r>
              <w:rPr>
                <w:rFonts w:ascii="Open Sans" w:eastAsia="Open Sans" w:hAnsi="Open Sans" w:cs="Open Sans"/>
              </w:rPr>
              <w:t xml:space="preserve"> e São Clemente</w:t>
            </w:r>
            <w:proofErr w:type="gramEnd"/>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Aracruz</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Planalto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 xml:space="preserve">Santa Cruz, </w:t>
            </w:r>
            <w:proofErr w:type="spellStart"/>
            <w:r>
              <w:rPr>
                <w:rFonts w:ascii="Open Sans" w:eastAsia="Open Sans" w:hAnsi="Open Sans" w:cs="Open Sans"/>
              </w:rPr>
              <w:t>Jocafe</w:t>
            </w:r>
            <w:proofErr w:type="spellEnd"/>
            <w:r>
              <w:rPr>
                <w:rFonts w:ascii="Open Sans" w:eastAsia="Open Sans" w:hAnsi="Open Sans" w:cs="Open Sans"/>
              </w:rPr>
              <w:t xml:space="preserve"> I, </w:t>
            </w:r>
            <w:proofErr w:type="spellStart"/>
            <w:r>
              <w:rPr>
                <w:rFonts w:ascii="Open Sans" w:eastAsia="Open Sans" w:hAnsi="Open Sans" w:cs="Open Sans"/>
              </w:rPr>
              <w:t>Jocafe</w:t>
            </w:r>
            <w:proofErr w:type="spellEnd"/>
            <w:r>
              <w:rPr>
                <w:rFonts w:ascii="Open Sans" w:eastAsia="Open Sans" w:hAnsi="Open Sans" w:cs="Open Sans"/>
              </w:rPr>
              <w:t xml:space="preserve"> II, Planalto e Nova Esperança</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Linhares</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Aviso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Aviso</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Linhares</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Interlagos</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Interlagos</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Linhares</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Guriri</w:t>
            </w:r>
            <w:proofErr w:type="spellEnd"/>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Guriri</w:t>
            </w:r>
            <w:proofErr w:type="spellEnd"/>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São Mateus</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Bom Sucesso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Bom Sucesso e Vitória</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São Mateus</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Cacique</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Cacique</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São Mateus</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Litorâneo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Litorâneo</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São Mateus</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Vila Nova</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Vila Nova</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São Mateus</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Zumbi</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Zumbi</w:t>
            </w:r>
          </w:p>
        </w:tc>
        <w:tc>
          <w:tcPr>
            <w:tcW w:w="1875"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Cachoeiro de Itapemirim</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Monte Cristo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Monte Cristo</w:t>
            </w:r>
          </w:p>
        </w:tc>
        <w:tc>
          <w:tcPr>
            <w:tcW w:w="1875"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Cachoeiro de Itapemirim</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 xml:space="preserve">Gilson </w:t>
            </w:r>
            <w:proofErr w:type="spellStart"/>
            <w:r>
              <w:rPr>
                <w:rFonts w:ascii="Open Sans" w:eastAsia="Open Sans" w:hAnsi="Open Sans" w:cs="Open Sans"/>
              </w:rPr>
              <w:t>Carone</w:t>
            </w:r>
            <w:proofErr w:type="spellEnd"/>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 xml:space="preserve">Gilson </w:t>
            </w:r>
            <w:proofErr w:type="spellStart"/>
            <w:r>
              <w:rPr>
                <w:rFonts w:ascii="Open Sans" w:eastAsia="Open Sans" w:hAnsi="Open Sans" w:cs="Open Sans"/>
              </w:rPr>
              <w:t>Carone</w:t>
            </w:r>
            <w:proofErr w:type="spellEnd"/>
          </w:p>
        </w:tc>
        <w:tc>
          <w:tcPr>
            <w:tcW w:w="1875"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Cachoeiro de Itapemirim</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Vilage</w:t>
            </w:r>
            <w:proofErr w:type="spellEnd"/>
            <w:r>
              <w:rPr>
                <w:rFonts w:ascii="Open Sans" w:eastAsia="Open Sans" w:hAnsi="Open Sans" w:cs="Open Sans"/>
              </w:rPr>
              <w:t xml:space="preserve"> da Luz</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proofErr w:type="spellStart"/>
            <w:r>
              <w:rPr>
                <w:rFonts w:ascii="Open Sans" w:eastAsia="Open Sans" w:hAnsi="Open Sans" w:cs="Open Sans"/>
              </w:rPr>
              <w:t>Vilage</w:t>
            </w:r>
            <w:proofErr w:type="spellEnd"/>
            <w:r>
              <w:rPr>
                <w:rFonts w:ascii="Open Sans" w:eastAsia="Open Sans" w:hAnsi="Open Sans" w:cs="Open Sans"/>
              </w:rPr>
              <w:t xml:space="preserve"> da Luz, Novo Parque e Alto Novo Parque</w:t>
            </w:r>
          </w:p>
        </w:tc>
        <w:tc>
          <w:tcPr>
            <w:tcW w:w="1875" w:type="dxa"/>
            <w:shd w:val="clear" w:color="auto" w:fill="auto"/>
            <w:tcMar>
              <w:top w:w="100" w:type="dxa"/>
              <w:left w:w="100" w:type="dxa"/>
              <w:bottom w:w="100" w:type="dxa"/>
              <w:right w:w="100" w:type="dxa"/>
            </w:tcMar>
          </w:tcPr>
          <w:p w:rsidR="00D14E29" w:rsidRDefault="00D83979">
            <w:pPr>
              <w:spacing w:line="276" w:lineRule="auto"/>
              <w:rPr>
                <w:rFonts w:ascii="Open Sans" w:eastAsia="Open Sans" w:hAnsi="Open Sans" w:cs="Open Sans"/>
              </w:rPr>
            </w:pPr>
            <w:r>
              <w:rPr>
                <w:rFonts w:ascii="Open Sans" w:eastAsia="Open Sans" w:hAnsi="Open Sans" w:cs="Open Sans"/>
              </w:rPr>
              <w:t>Cachoeiro de Itapemirim</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Ayrton Senna</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 xml:space="preserve">Vicente </w:t>
            </w:r>
            <w:proofErr w:type="spellStart"/>
            <w:r>
              <w:rPr>
                <w:rFonts w:ascii="Open Sans" w:eastAsia="Open Sans" w:hAnsi="Open Sans" w:cs="Open Sans"/>
              </w:rPr>
              <w:t>Suella</w:t>
            </w:r>
            <w:proofErr w:type="spellEnd"/>
            <w:r>
              <w:rPr>
                <w:rFonts w:ascii="Open Sans" w:eastAsia="Open Sans" w:hAnsi="Open Sans" w:cs="Open Sans"/>
              </w:rPr>
              <w:t xml:space="preserve"> e Ayrton Senna</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Colatina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Santo Antônio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Santo Antônio</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Colatina</w:t>
            </w:r>
          </w:p>
        </w:tc>
      </w:tr>
      <w:tr w:rsidR="00D14E29">
        <w:tc>
          <w:tcPr>
            <w:tcW w:w="3450"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São Pedro</w:t>
            </w:r>
          </w:p>
        </w:tc>
        <w:tc>
          <w:tcPr>
            <w:tcW w:w="400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São Pedro, São Judas Tadeu, Bela Vista, Santa Cecília, São Vicente, Alto São Vicente, Pôr do Sol, Operário, Jardim Planalto</w:t>
            </w:r>
          </w:p>
        </w:tc>
        <w:tc>
          <w:tcPr>
            <w:tcW w:w="1875" w:type="dxa"/>
            <w:shd w:val="clear" w:color="auto" w:fill="auto"/>
            <w:tcMar>
              <w:top w:w="100" w:type="dxa"/>
              <w:left w:w="100" w:type="dxa"/>
              <w:bottom w:w="100" w:type="dxa"/>
              <w:right w:w="100" w:type="dxa"/>
            </w:tcMar>
          </w:tcPr>
          <w:p w:rsidR="00D14E29" w:rsidRDefault="00D83979">
            <w:pPr>
              <w:spacing w:line="276" w:lineRule="auto"/>
              <w:jc w:val="both"/>
              <w:rPr>
                <w:rFonts w:ascii="Open Sans" w:eastAsia="Open Sans" w:hAnsi="Open Sans" w:cs="Open Sans"/>
              </w:rPr>
            </w:pPr>
            <w:r>
              <w:rPr>
                <w:rFonts w:ascii="Open Sans" w:eastAsia="Open Sans" w:hAnsi="Open Sans" w:cs="Open Sans"/>
              </w:rPr>
              <w:t>Colatina</w:t>
            </w:r>
          </w:p>
        </w:tc>
      </w:tr>
    </w:tbl>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ANEXO Formação da equipe de execução do projeto Lugares de Ler</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A equipe técnica de execução do Lugares de Ler deverá contar com profissionais aptos a desempenhar as funções descritas abaixo, sendo no mínimo um bibliotecário, um comunicador social e um edu</w:t>
      </w:r>
      <w:r>
        <w:rPr>
          <w:rFonts w:ascii="Open Sans" w:eastAsia="Open Sans" w:hAnsi="Open Sans" w:cs="Open Sans"/>
        </w:rPr>
        <w:t>cador.</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I - Coordenador Geral</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Função: Planejar e organizar toda a execução do projeto</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 xml:space="preserve">II - Coordenador Operacional </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Função: Coordenar os mediadores de leitura e a execução do projeto</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III - Coordenador Financeiro</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Função: Gerenciar e realizar as operações financeiras, pagamentos e prestação de contas</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IV - Mediadores de Leitura</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Função: Realizar as ações de fomento à leitura nos territórios</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V - Coordenador de Comunicação</w:t>
      </w:r>
    </w:p>
    <w:p w:rsidR="00D14E29" w:rsidRDefault="00D83979">
      <w:pPr>
        <w:spacing w:after="0" w:line="276" w:lineRule="auto"/>
        <w:jc w:val="both"/>
        <w:rPr>
          <w:rFonts w:ascii="Open Sans" w:eastAsia="Open Sans" w:hAnsi="Open Sans" w:cs="Open Sans"/>
          <w:color w:val="FF0000"/>
          <w:highlight w:val="yellow"/>
        </w:rPr>
      </w:pPr>
      <w:r>
        <w:rPr>
          <w:rFonts w:ascii="Open Sans" w:eastAsia="Open Sans" w:hAnsi="Open Sans" w:cs="Open Sans"/>
        </w:rPr>
        <w:t>Função: Divulgar e mobilizar a comunidade e o</w:t>
      </w:r>
      <w:r>
        <w:rPr>
          <w:rFonts w:ascii="Open Sans" w:eastAsia="Open Sans" w:hAnsi="Open Sans" w:cs="Open Sans"/>
        </w:rPr>
        <w:t>s meios de comunicação locais para as atividades do projeto Lugares de Ler, com ênfase nos meios de comunicação tradicionais, nos meios de comunicação comunitária e nas mídias sociais</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VI - Social Media ou Designer</w:t>
      </w:r>
    </w:p>
    <w:p w:rsidR="00D14E29" w:rsidRDefault="00D83979">
      <w:pPr>
        <w:spacing w:after="0" w:line="276" w:lineRule="auto"/>
        <w:jc w:val="both"/>
        <w:rPr>
          <w:rFonts w:ascii="Open Sans" w:eastAsia="Open Sans" w:hAnsi="Open Sans" w:cs="Open Sans"/>
        </w:rPr>
      </w:pPr>
      <w:r>
        <w:rPr>
          <w:rFonts w:ascii="Open Sans" w:eastAsia="Open Sans" w:hAnsi="Open Sans" w:cs="Open Sans"/>
        </w:rPr>
        <w:t>Função: Atuar na divulgação das mídias so</w:t>
      </w:r>
      <w:r>
        <w:rPr>
          <w:rFonts w:ascii="Open Sans" w:eastAsia="Open Sans" w:hAnsi="Open Sans" w:cs="Open Sans"/>
        </w:rPr>
        <w:t>ciais, criando postagens e interagindo com o público nos canais oficiais do projeto</w:t>
      </w:r>
    </w:p>
    <w:p w:rsidR="00D14E29" w:rsidRDefault="00D14E29">
      <w:pPr>
        <w:spacing w:after="0" w:line="276" w:lineRule="auto"/>
        <w:jc w:val="both"/>
        <w:rPr>
          <w:rFonts w:ascii="Open Sans" w:eastAsia="Open Sans" w:hAnsi="Open Sans" w:cs="Open Sans"/>
        </w:rPr>
      </w:pPr>
    </w:p>
    <w:p w:rsidR="00D14E29" w:rsidRDefault="00D83979">
      <w:pPr>
        <w:spacing w:after="0" w:line="276" w:lineRule="auto"/>
        <w:jc w:val="both"/>
        <w:rPr>
          <w:rFonts w:ascii="Open Sans" w:eastAsia="Open Sans" w:hAnsi="Open Sans" w:cs="Open Sans"/>
        </w:rPr>
      </w:pPr>
      <w:r>
        <w:rPr>
          <w:rFonts w:ascii="Open Sans" w:eastAsia="Open Sans" w:hAnsi="Open Sans" w:cs="Open Sans"/>
        </w:rPr>
        <w:t xml:space="preserve">Ana Laura </w:t>
      </w:r>
      <w:proofErr w:type="spellStart"/>
      <w:r>
        <w:rPr>
          <w:rFonts w:ascii="Open Sans" w:eastAsia="Open Sans" w:hAnsi="Open Sans" w:cs="Open Sans"/>
        </w:rPr>
        <w:t>Nahas</w:t>
      </w:r>
      <w:proofErr w:type="spellEnd"/>
      <w:r>
        <w:rPr>
          <w:rFonts w:ascii="Open Sans" w:eastAsia="Open Sans" w:hAnsi="Open Sans" w:cs="Open Sans"/>
        </w:rPr>
        <w:t xml:space="preserve"> Florentino - Gerência de Formação, Livro e Leitura</w:t>
      </w:r>
      <w:r>
        <w:rPr>
          <w:rFonts w:ascii="Open Sans" w:eastAsia="Open Sans" w:hAnsi="Open Sans" w:cs="Open Sans"/>
        </w:rPr>
        <w:br/>
        <w:t>Lara Vitória Pinto Espíndola - Biblioteca Pública do Espírito Santo</w:t>
      </w:r>
    </w:p>
    <w:sectPr w:rsidR="00D14E29">
      <w:pgSz w:w="11906" w:h="16838"/>
      <w:pgMar w:top="1417" w:right="1133" w:bottom="1133" w:left="1417" w:header="152" w:footer="9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83979">
      <w:pPr>
        <w:spacing w:after="0" w:line="240" w:lineRule="auto"/>
      </w:pPr>
      <w:r>
        <w:separator/>
      </w:r>
    </w:p>
  </w:endnote>
  <w:endnote w:type="continuationSeparator" w:id="0">
    <w:p w:rsidR="00000000" w:rsidRDefault="00D8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83979">
      <w:pPr>
        <w:spacing w:after="0" w:line="240" w:lineRule="auto"/>
      </w:pPr>
      <w:r>
        <w:separator/>
      </w:r>
    </w:p>
  </w:footnote>
  <w:footnote w:type="continuationSeparator" w:id="0">
    <w:p w:rsidR="00000000" w:rsidRDefault="00D839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29" w:rsidRDefault="00D83979">
    <w:pPr>
      <w:spacing w:before="120" w:after="120" w:line="360" w:lineRule="auto"/>
      <w:rPr>
        <w:rFonts w:ascii="Arial" w:eastAsia="Arial" w:hAnsi="Arial" w:cs="Arial"/>
        <w:b/>
        <w:sz w:val="24"/>
        <w:szCs w:val="24"/>
      </w:rPr>
    </w:pPr>
    <w:r>
      <w:rPr>
        <w:noProof/>
      </w:rPr>
      <w:drawing>
        <wp:anchor distT="0" distB="0" distL="133350" distR="114300" simplePos="0" relativeHeight="251658240" behindDoc="0" locked="0" layoutInCell="1" hidden="0" allowOverlap="1">
          <wp:simplePos x="0" y="0"/>
          <wp:positionH relativeFrom="column">
            <wp:posOffset>2333625</wp:posOffset>
          </wp:positionH>
          <wp:positionV relativeFrom="paragraph">
            <wp:posOffset>-104770</wp:posOffset>
          </wp:positionV>
          <wp:extent cx="866775" cy="838200"/>
          <wp:effectExtent l="0" t="0" r="0" b="0"/>
          <wp:wrapSquare wrapText="bothSides" distT="0" distB="0" distL="133350" distR="114300"/>
          <wp:docPr id="9" name="image1.png" descr="BRASÃO - Gov2"/>
          <wp:cNvGraphicFramePr/>
          <a:graphic xmlns:a="http://schemas.openxmlformats.org/drawingml/2006/main">
            <a:graphicData uri="http://schemas.openxmlformats.org/drawingml/2006/picture">
              <pic:pic xmlns:pic="http://schemas.openxmlformats.org/drawingml/2006/picture">
                <pic:nvPicPr>
                  <pic:cNvPr id="0" name="image1.png" descr="BRASÃO - Gov2"/>
                  <pic:cNvPicPr preferRelativeResize="0"/>
                </pic:nvPicPr>
                <pic:blipFill>
                  <a:blip r:embed="rId1"/>
                  <a:srcRect/>
                  <a:stretch>
                    <a:fillRect/>
                  </a:stretch>
                </pic:blipFill>
                <pic:spPr>
                  <a:xfrm>
                    <a:off x="0" y="0"/>
                    <a:ext cx="866775" cy="838200"/>
                  </a:xfrm>
                  <a:prstGeom prst="rect">
                    <a:avLst/>
                  </a:prstGeom>
                  <a:ln/>
                </pic:spPr>
              </pic:pic>
            </a:graphicData>
          </a:graphic>
        </wp:anchor>
      </w:drawing>
    </w:r>
  </w:p>
  <w:p w:rsidR="00D14E29" w:rsidRDefault="00D14E29">
    <w:pPr>
      <w:spacing w:after="0" w:line="240" w:lineRule="auto"/>
      <w:ind w:right="17"/>
      <w:jc w:val="center"/>
      <w:rPr>
        <w:rFonts w:ascii="Times New Roman" w:eastAsia="Times New Roman" w:hAnsi="Times New Roman" w:cs="Times New Roman"/>
        <w:b/>
        <w:sz w:val="20"/>
        <w:szCs w:val="20"/>
      </w:rPr>
    </w:pPr>
  </w:p>
  <w:p w:rsidR="00D14E29" w:rsidRDefault="00D14E29">
    <w:pPr>
      <w:spacing w:after="0" w:line="240" w:lineRule="auto"/>
      <w:ind w:right="17"/>
      <w:jc w:val="center"/>
      <w:rPr>
        <w:rFonts w:ascii="Times New Roman" w:eastAsia="Times New Roman" w:hAnsi="Times New Roman" w:cs="Times New Roman"/>
        <w:b/>
        <w:sz w:val="20"/>
        <w:szCs w:val="20"/>
      </w:rPr>
    </w:pPr>
  </w:p>
  <w:p w:rsidR="00D14E29" w:rsidRDefault="00D14E29">
    <w:pPr>
      <w:spacing w:after="0" w:line="240" w:lineRule="auto"/>
      <w:ind w:right="17"/>
      <w:jc w:val="center"/>
      <w:rPr>
        <w:rFonts w:ascii="Times New Roman" w:eastAsia="Times New Roman" w:hAnsi="Times New Roman" w:cs="Times New Roman"/>
        <w:b/>
        <w:sz w:val="20"/>
        <w:szCs w:val="20"/>
      </w:rPr>
    </w:pPr>
  </w:p>
  <w:p w:rsidR="00D14E29" w:rsidRDefault="00D83979">
    <w:pPr>
      <w:spacing w:after="0" w:line="240" w:lineRule="auto"/>
      <w:ind w:right="1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GOVERNO DO ESTADO DO ESPÍRITO SANTO</w:t>
    </w:r>
  </w:p>
  <w:p w:rsidR="00D14E29" w:rsidRDefault="00D83979">
    <w:pPr>
      <w:spacing w:after="0" w:line="240" w:lineRule="auto"/>
      <w:ind w:right="1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ESTADO DA CULTURA</w:t>
    </w:r>
  </w:p>
  <w:p w:rsidR="00D14E29" w:rsidRDefault="00D14E29">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60CA3"/>
    <w:multiLevelType w:val="multilevel"/>
    <w:tmpl w:val="DFA44C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C8416E1"/>
    <w:multiLevelType w:val="multilevel"/>
    <w:tmpl w:val="CDF489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9892EE7"/>
    <w:multiLevelType w:val="multilevel"/>
    <w:tmpl w:val="2F0C6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5E05FD"/>
    <w:multiLevelType w:val="multilevel"/>
    <w:tmpl w:val="E570AA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6690614E"/>
    <w:multiLevelType w:val="multilevel"/>
    <w:tmpl w:val="70A848AE"/>
    <w:lvl w:ilvl="0">
      <w:start w:val="1"/>
      <w:numFmt w:val="lowerLetter"/>
      <w:pStyle w:val="Ttulo1"/>
      <w:lvlText w:val="%1)"/>
      <w:lvlJc w:val="left"/>
      <w:pPr>
        <w:ind w:left="720" w:hanging="360"/>
      </w:pPr>
      <w:rPr>
        <w:u w:val="none"/>
      </w:rPr>
    </w:lvl>
    <w:lvl w:ilvl="1">
      <w:start w:val="1"/>
      <w:numFmt w:val="lowerRoman"/>
      <w:pStyle w:val="subclausula"/>
      <w:lvlText w:val="%2)"/>
      <w:lvlJc w:val="right"/>
      <w:pPr>
        <w:ind w:left="1440" w:hanging="360"/>
      </w:pPr>
      <w:rPr>
        <w:u w:val="none"/>
      </w:rPr>
    </w:lvl>
    <w:lvl w:ilvl="2">
      <w:start w:val="1"/>
      <w:numFmt w:val="decimal"/>
      <w:pStyle w:val="subclausula2"/>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28A77D6"/>
    <w:multiLevelType w:val="multilevel"/>
    <w:tmpl w:val="18388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29"/>
    <w:rsid w:val="00D14E29"/>
    <w:rsid w:val="00D839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CD89F-50C7-4718-A77D-9125DCDD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com numeração)"/>
    <w:basedOn w:val="Normal"/>
    <w:next w:val="Normal"/>
    <w:link w:val="Ttulo1Char"/>
    <w:autoRedefine/>
    <w:uiPriority w:val="9"/>
    <w:qFormat/>
    <w:rsid w:val="00050C78"/>
    <w:pPr>
      <w:keepNext/>
      <w:keepLines/>
      <w:numPr>
        <w:numId w:val="3"/>
      </w:numPr>
      <w:spacing w:before="480" w:after="0" w:line="276" w:lineRule="auto"/>
      <w:outlineLvl w:val="0"/>
    </w:pPr>
    <w:rPr>
      <w:rFonts w:ascii="Arial" w:eastAsiaTheme="majorEastAsia" w:hAnsi="Arial" w:cs="Arial"/>
      <w:b/>
      <w:bCs/>
      <w:color w:val="2E74B5" w:themeColor="accent1" w:themeShade="BF"/>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PargrafodaLista">
    <w:name w:val="List Paragraph"/>
    <w:basedOn w:val="Normal"/>
    <w:uiPriority w:val="34"/>
    <w:qFormat/>
    <w:rsid w:val="00564C35"/>
    <w:pPr>
      <w:ind w:left="720"/>
      <w:contextualSpacing/>
    </w:pPr>
  </w:style>
  <w:style w:type="table" w:styleId="Tabelacomgrade">
    <w:name w:val="Table Grid"/>
    <w:basedOn w:val="Tabelanormal"/>
    <w:uiPriority w:val="99"/>
    <w:rsid w:val="00241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Título 1 (com numeração) Char"/>
    <w:basedOn w:val="Fontepargpadro"/>
    <w:link w:val="Ttulo1"/>
    <w:uiPriority w:val="9"/>
    <w:rsid w:val="00050C78"/>
    <w:rPr>
      <w:rFonts w:ascii="Arial" w:eastAsiaTheme="majorEastAsia" w:hAnsi="Arial" w:cs="Arial"/>
      <w:b/>
      <w:bCs/>
      <w:color w:val="2E74B5" w:themeColor="accent1" w:themeShade="BF"/>
      <w:sz w:val="24"/>
      <w:szCs w:val="24"/>
    </w:rPr>
  </w:style>
  <w:style w:type="paragraph" w:customStyle="1" w:styleId="subclausula">
    <w:name w:val="subclausula"/>
    <w:basedOn w:val="Normal"/>
    <w:qFormat/>
    <w:rsid w:val="00050C78"/>
    <w:pPr>
      <w:numPr>
        <w:ilvl w:val="1"/>
        <w:numId w:val="3"/>
      </w:numPr>
      <w:spacing w:before="240" w:after="240" w:line="276" w:lineRule="auto"/>
      <w:jc w:val="both"/>
      <w:outlineLvl w:val="0"/>
    </w:pPr>
    <w:rPr>
      <w:rFonts w:ascii="Arial" w:eastAsiaTheme="majorEastAsia" w:hAnsi="Arial" w:cs="Arial"/>
      <w:bCs/>
      <w:szCs w:val="24"/>
    </w:rPr>
  </w:style>
  <w:style w:type="paragraph" w:customStyle="1" w:styleId="subclausula2">
    <w:name w:val="subclausula2"/>
    <w:basedOn w:val="subclausula"/>
    <w:qFormat/>
    <w:rsid w:val="00050C78"/>
    <w:pPr>
      <w:numPr>
        <w:ilvl w:val="2"/>
      </w:numPr>
    </w:pPr>
  </w:style>
  <w:style w:type="numbering" w:customStyle="1" w:styleId="Estilo1">
    <w:name w:val="Estilo1"/>
    <w:uiPriority w:val="99"/>
    <w:rsid w:val="00050C78"/>
  </w:style>
  <w:style w:type="character" w:styleId="Hyperlink">
    <w:name w:val="Hyperlink"/>
    <w:basedOn w:val="Fontepargpadro"/>
    <w:uiPriority w:val="99"/>
    <w:unhideWhenUsed/>
    <w:rsid w:val="00050C78"/>
    <w:rPr>
      <w:color w:val="0563C1" w:themeColor="hyperlink"/>
      <w:u w:val="single"/>
    </w:rPr>
  </w:style>
  <w:style w:type="paragraph" w:styleId="Corpodetexto">
    <w:name w:val="Body Text"/>
    <w:basedOn w:val="Normal"/>
    <w:link w:val="CorpodetextoChar"/>
    <w:uiPriority w:val="1"/>
    <w:qFormat/>
    <w:rsid w:val="00050C78"/>
    <w:pPr>
      <w:widowControl w:val="0"/>
      <w:spacing w:before="3" w:after="0" w:line="240" w:lineRule="auto"/>
      <w:ind w:left="100"/>
    </w:pPr>
    <w:rPr>
      <w:rFonts w:ascii="Arial" w:eastAsia="Arial" w:hAnsi="Arial" w:cs="Times New Roman"/>
    </w:rPr>
  </w:style>
  <w:style w:type="character" w:customStyle="1" w:styleId="CorpodetextoChar">
    <w:name w:val="Corpo de texto Char"/>
    <w:basedOn w:val="Fontepargpadro"/>
    <w:link w:val="Corpodetexto"/>
    <w:uiPriority w:val="1"/>
    <w:rsid w:val="00050C78"/>
    <w:rPr>
      <w:rFonts w:ascii="Arial" w:eastAsia="Arial" w:hAnsi="Arial" w:cs="Times New Roman"/>
    </w:rPr>
  </w:style>
  <w:style w:type="paragraph" w:customStyle="1" w:styleId="textbody">
    <w:name w:val="textbody"/>
    <w:basedOn w:val="Normal"/>
    <w:rsid w:val="0051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r2">
    <w:name w:val="autor2"/>
    <w:basedOn w:val="Normal"/>
    <w:rsid w:val="007E55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Fontepargpadro"/>
    <w:rsid w:val="007E558C"/>
  </w:style>
  <w:style w:type="paragraph" w:customStyle="1" w:styleId="capitulo">
    <w:name w:val="capitulo"/>
    <w:basedOn w:val="Normal"/>
    <w:rsid w:val="007E55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ha1">
    <w:name w:val="linha1"/>
    <w:basedOn w:val="Normal"/>
    <w:rsid w:val="007E55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r1">
    <w:name w:val="autor1"/>
    <w:basedOn w:val="Normal"/>
    <w:rsid w:val="007E55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Fontepargpadro"/>
    <w:rsid w:val="007E558C"/>
  </w:style>
  <w:style w:type="paragraph" w:customStyle="1" w:styleId="linha2">
    <w:name w:val="linha2"/>
    <w:basedOn w:val="Normal"/>
    <w:rsid w:val="007E558C"/>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B037BC"/>
    <w:rPr>
      <w:sz w:val="16"/>
      <w:szCs w:val="16"/>
    </w:rPr>
  </w:style>
  <w:style w:type="paragraph" w:styleId="Textodecomentrio">
    <w:name w:val="annotation text"/>
    <w:basedOn w:val="Normal"/>
    <w:link w:val="TextodecomentrioChar"/>
    <w:uiPriority w:val="99"/>
    <w:semiHidden/>
    <w:unhideWhenUsed/>
    <w:rsid w:val="00B037BC"/>
    <w:pPr>
      <w:spacing w:after="0" w:line="240" w:lineRule="auto"/>
    </w:pPr>
    <w:rPr>
      <w:rFonts w:ascii="Arial" w:eastAsia="Arial" w:hAnsi="Arial" w:cs="Arial"/>
      <w:sz w:val="20"/>
      <w:szCs w:val="20"/>
    </w:rPr>
  </w:style>
  <w:style w:type="character" w:customStyle="1" w:styleId="TextodecomentrioChar">
    <w:name w:val="Texto de comentário Char"/>
    <w:basedOn w:val="Fontepargpadro"/>
    <w:link w:val="Textodecomentrio"/>
    <w:uiPriority w:val="99"/>
    <w:semiHidden/>
    <w:rsid w:val="00B037BC"/>
    <w:rPr>
      <w:rFonts w:ascii="Arial" w:eastAsia="Arial" w:hAnsi="Arial" w:cs="Arial"/>
      <w:sz w:val="20"/>
      <w:szCs w:val="20"/>
      <w:lang w:eastAsia="pt-BR"/>
    </w:rPr>
  </w:style>
  <w:style w:type="paragraph" w:styleId="Textodebalo">
    <w:name w:val="Balloon Text"/>
    <w:basedOn w:val="Normal"/>
    <w:link w:val="TextodebaloChar"/>
    <w:uiPriority w:val="99"/>
    <w:semiHidden/>
    <w:unhideWhenUsed/>
    <w:rsid w:val="00B037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037BC"/>
    <w:rPr>
      <w:rFonts w:ascii="Segoe UI" w:hAnsi="Segoe UI" w:cs="Segoe UI"/>
      <w:sz w:val="18"/>
      <w:szCs w:val="18"/>
    </w:rPr>
  </w:style>
  <w:style w:type="paragraph" w:styleId="Reviso">
    <w:name w:val="Revision"/>
    <w:hidden/>
    <w:uiPriority w:val="99"/>
    <w:semiHidden/>
    <w:rsid w:val="00B037BC"/>
    <w:pPr>
      <w:spacing w:after="0" w:line="240" w:lineRule="auto"/>
    </w:pPr>
  </w:style>
  <w:style w:type="paragraph" w:customStyle="1" w:styleId="textojustificado">
    <w:name w:val="texto_justificado"/>
    <w:basedOn w:val="Normal"/>
    <w:rsid w:val="00480F40"/>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D414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49F"/>
  </w:style>
  <w:style w:type="paragraph" w:styleId="Rodap">
    <w:name w:val="footer"/>
    <w:basedOn w:val="Normal"/>
    <w:link w:val="RodapChar"/>
    <w:uiPriority w:val="99"/>
    <w:unhideWhenUsed/>
    <w:rsid w:val="00D4149F"/>
    <w:pPr>
      <w:tabs>
        <w:tab w:val="center" w:pos="4252"/>
        <w:tab w:val="right" w:pos="8504"/>
      </w:tabs>
      <w:spacing w:after="0" w:line="240" w:lineRule="auto"/>
    </w:pPr>
  </w:style>
  <w:style w:type="character" w:customStyle="1" w:styleId="RodapChar">
    <w:name w:val="Rodapé Char"/>
    <w:basedOn w:val="Fontepargpadro"/>
    <w:link w:val="Rodap"/>
    <w:uiPriority w:val="99"/>
    <w:rsid w:val="00D4149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pPr>
      <w:spacing w:after="0" w:line="240" w:lineRule="auto"/>
    </w:pPr>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15" w:type="dxa"/>
        <w:right w:w="115" w:type="dxa"/>
      </w:tblCellMar>
    </w:tblPr>
  </w:style>
  <w:style w:type="paragraph" w:styleId="Assuntodocomentrio">
    <w:name w:val="annotation subject"/>
    <w:basedOn w:val="Textodecomentrio"/>
    <w:next w:val="Textodecomentrio"/>
    <w:link w:val="AssuntodocomentrioChar"/>
    <w:uiPriority w:val="99"/>
    <w:semiHidden/>
    <w:unhideWhenUsed/>
    <w:rsid w:val="00275D66"/>
    <w:pPr>
      <w:spacing w:after="160"/>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275D66"/>
    <w:rPr>
      <w:rFonts w:ascii="Arial" w:eastAsia="Arial" w:hAnsi="Arial" w:cs="Arial"/>
      <w:b/>
      <w:bCs/>
      <w:sz w:val="20"/>
      <w:szCs w:val="20"/>
      <w:lang w:eastAsia="pt-BR"/>
    </w:rPr>
  </w:style>
  <w:style w:type="table" w:customStyle="1" w:styleId="a2">
    <w:basedOn w:val="TableNormal6"/>
    <w:pPr>
      <w:spacing w:after="0" w:line="240" w:lineRule="auto"/>
    </w:pPr>
    <w:tblPr>
      <w:tblStyleRowBandSize w:val="1"/>
      <w:tblStyleColBandSize w:val="1"/>
      <w:tblCellMar>
        <w:left w:w="115" w:type="dxa"/>
        <w:right w:w="115" w:type="dxa"/>
      </w:tblCellMar>
    </w:tblPr>
  </w:style>
  <w:style w:type="table" w:customStyle="1" w:styleId="a3">
    <w:basedOn w:val="TableNormal6"/>
    <w:pPr>
      <w:spacing w:after="0" w:line="240" w:lineRule="auto"/>
    </w:pPr>
    <w:tblPr>
      <w:tblStyleRowBandSize w:val="1"/>
      <w:tblStyleColBandSize w:val="1"/>
      <w:tblCellMar>
        <w:left w:w="115" w:type="dxa"/>
        <w:right w:w="115" w:type="dxa"/>
      </w:tblCellMar>
    </w:tblPr>
  </w:style>
  <w:style w:type="table" w:customStyle="1" w:styleId="a4">
    <w:basedOn w:val="TableNormal6"/>
    <w:pPr>
      <w:spacing w:after="0" w:line="240" w:lineRule="auto"/>
    </w:pPr>
    <w:tblPr>
      <w:tblStyleRowBandSize w:val="1"/>
      <w:tblStyleColBandSize w:val="1"/>
      <w:tblCellMar>
        <w:left w:w="115" w:type="dxa"/>
        <w:right w:w="115" w:type="dxa"/>
      </w:tblCellMar>
    </w:tblPr>
  </w:style>
  <w:style w:type="table" w:customStyle="1" w:styleId="a5">
    <w:basedOn w:val="TableNormal5"/>
    <w:pPr>
      <w:spacing w:after="0" w:line="240" w:lineRule="auto"/>
    </w:pPr>
    <w:tblPr>
      <w:tblStyleRowBandSize w:val="1"/>
      <w:tblStyleColBandSize w:val="1"/>
      <w:tblCellMar>
        <w:left w:w="115" w:type="dxa"/>
        <w:right w:w="115" w:type="dxa"/>
      </w:tblCellMar>
    </w:tblPr>
  </w:style>
  <w:style w:type="table" w:customStyle="1" w:styleId="a6">
    <w:basedOn w:val="TableNormal5"/>
    <w:pPr>
      <w:spacing w:after="0" w:line="240" w:lineRule="auto"/>
    </w:pPr>
    <w:tblPr>
      <w:tblStyleRowBandSize w:val="1"/>
      <w:tblStyleColBandSize w:val="1"/>
      <w:tblCellMar>
        <w:left w:w="115" w:type="dxa"/>
        <w:right w:w="115" w:type="dxa"/>
      </w:tblCellMar>
    </w:tblPr>
  </w:style>
  <w:style w:type="table" w:customStyle="1" w:styleId="a7">
    <w:basedOn w:val="TableNormal5"/>
    <w:pPr>
      <w:spacing w:after="0" w:line="240" w:lineRule="auto"/>
    </w:pPr>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table" w:customStyle="1" w:styleId="a9">
    <w:basedOn w:val="TableNormal5"/>
    <w:tblPr>
      <w:tblStyleRowBandSize w:val="1"/>
      <w:tblStyleColBandSize w:val="1"/>
      <w:tblCellMar>
        <w:top w:w="100" w:type="dxa"/>
        <w:left w:w="100" w:type="dxa"/>
        <w:bottom w:w="100" w:type="dxa"/>
        <w:right w:w="100" w:type="dxa"/>
      </w:tblCellMar>
    </w:tblPr>
  </w:style>
  <w:style w:type="table" w:customStyle="1" w:styleId="aa">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5"/>
    <w:pPr>
      <w:spacing w:after="0" w:line="240" w:lineRule="auto"/>
    </w:pPr>
    <w:tblPr>
      <w:tblStyleRowBandSize w:val="1"/>
      <w:tblStyleColBandSize w:val="1"/>
      <w:tblCellMar>
        <w:left w:w="115" w:type="dxa"/>
        <w:right w:w="115" w:type="dxa"/>
      </w:tblCellMar>
    </w:tblPr>
  </w:style>
  <w:style w:type="table" w:customStyle="1" w:styleId="af0">
    <w:basedOn w:val="TableNormal5"/>
    <w:pPr>
      <w:spacing w:after="0" w:line="240" w:lineRule="auto"/>
    </w:pPr>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top w:w="100" w:type="dxa"/>
        <w:left w:w="100" w:type="dxa"/>
        <w:bottom w:w="100" w:type="dxa"/>
        <w:right w:w="100" w:type="dxa"/>
      </w:tblCellMar>
    </w:tblPr>
  </w:style>
  <w:style w:type="table" w:customStyle="1" w:styleId="af2">
    <w:basedOn w:val="TableNormal5"/>
    <w:tblPr>
      <w:tblStyleRowBandSize w:val="1"/>
      <w:tblStyleColBandSize w:val="1"/>
      <w:tblCellMar>
        <w:top w:w="100" w:type="dxa"/>
        <w:left w:w="100" w:type="dxa"/>
        <w:bottom w:w="100" w:type="dxa"/>
        <w:right w:w="100" w:type="dxa"/>
      </w:tblCellMar>
    </w:tblPr>
  </w:style>
  <w:style w:type="table" w:customStyle="1" w:styleId="af3">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5"/>
    <w:pPr>
      <w:spacing w:after="0" w:line="240" w:lineRule="auto"/>
    </w:pPr>
    <w:tblPr>
      <w:tblStyleRowBandSize w:val="1"/>
      <w:tblStyleColBandSize w:val="1"/>
      <w:tblCellMar>
        <w:left w:w="115" w:type="dxa"/>
        <w:right w:w="115" w:type="dxa"/>
      </w:tblCellMar>
    </w:tblPr>
  </w:style>
  <w:style w:type="table" w:customStyle="1" w:styleId="af9">
    <w:basedOn w:val="TableNormal5"/>
    <w:pPr>
      <w:spacing w:after="0" w:line="240" w:lineRule="auto"/>
    </w:pPr>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top w:w="100" w:type="dxa"/>
        <w:left w:w="100" w:type="dxa"/>
        <w:bottom w:w="100" w:type="dxa"/>
        <w:right w:w="100"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5"/>
    <w:pPr>
      <w:spacing w:after="0" w:line="240" w:lineRule="auto"/>
    </w:pPr>
    <w:tblPr>
      <w:tblStyleRowBandSize w:val="1"/>
      <w:tblStyleColBandSize w:val="1"/>
      <w:tblCellMar>
        <w:left w:w="115" w:type="dxa"/>
        <w:right w:w="115" w:type="dxa"/>
      </w:tblCellMar>
    </w:tblPr>
  </w:style>
  <w:style w:type="table" w:customStyle="1" w:styleId="aff2">
    <w:basedOn w:val="TableNormal5"/>
    <w:pPr>
      <w:spacing w:after="0" w:line="240" w:lineRule="auto"/>
    </w:pPr>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top w:w="100" w:type="dxa"/>
        <w:left w:w="100" w:type="dxa"/>
        <w:bottom w:w="100" w:type="dxa"/>
        <w:right w:w="100" w:type="dxa"/>
      </w:tblCellMar>
    </w:tblPr>
  </w:style>
  <w:style w:type="table" w:customStyle="1" w:styleId="aff4">
    <w:basedOn w:val="TableNormal5"/>
    <w:tblPr>
      <w:tblStyleRowBandSize w:val="1"/>
      <w:tblStyleColBandSize w:val="1"/>
      <w:tblCellMar>
        <w:top w:w="100" w:type="dxa"/>
        <w:left w:w="100" w:type="dxa"/>
        <w:bottom w:w="100" w:type="dxa"/>
        <w:right w:w="100" w:type="dxa"/>
      </w:tblCellMar>
    </w:tblPr>
  </w:style>
  <w:style w:type="table" w:customStyle="1" w:styleId="aff5">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5"/>
    <w:pPr>
      <w:spacing w:after="0" w:line="240" w:lineRule="auto"/>
    </w:pPr>
    <w:tblPr>
      <w:tblStyleRowBandSize w:val="1"/>
      <w:tblStyleColBandSize w:val="1"/>
      <w:tblCellMar>
        <w:left w:w="115" w:type="dxa"/>
        <w:right w:w="115" w:type="dxa"/>
      </w:tblCellMar>
    </w:tblPr>
  </w:style>
  <w:style w:type="table" w:customStyle="1" w:styleId="affb">
    <w:basedOn w:val="TableNormal5"/>
    <w:pPr>
      <w:spacing w:after="0" w:line="240" w:lineRule="auto"/>
    </w:pPr>
    <w:tblPr>
      <w:tblStyleRowBandSize w:val="1"/>
      <w:tblStyleColBandSize w:val="1"/>
      <w:tblCellMar>
        <w:left w:w="115" w:type="dxa"/>
        <w:right w:w="115" w:type="dxa"/>
      </w:tblCellMar>
    </w:tblPr>
  </w:style>
  <w:style w:type="table" w:customStyle="1" w:styleId="affc">
    <w:basedOn w:val="TableNormal5"/>
    <w:tblPr>
      <w:tblStyleRowBandSize w:val="1"/>
      <w:tblStyleColBandSize w:val="1"/>
      <w:tblCellMar>
        <w:top w:w="100" w:type="dxa"/>
        <w:left w:w="100" w:type="dxa"/>
        <w:bottom w:w="100" w:type="dxa"/>
        <w:right w:w="100" w:type="dxa"/>
      </w:tblCellMar>
    </w:tblPr>
  </w:style>
  <w:style w:type="table" w:customStyle="1" w:styleId="affd">
    <w:basedOn w:val="TableNormal5"/>
    <w:tblPr>
      <w:tblStyleRowBandSize w:val="1"/>
      <w:tblStyleColBandSize w:val="1"/>
      <w:tblCellMar>
        <w:top w:w="100" w:type="dxa"/>
        <w:left w:w="100" w:type="dxa"/>
        <w:bottom w:w="100" w:type="dxa"/>
        <w:right w:w="100" w:type="dxa"/>
      </w:tblCellMar>
    </w:tblPr>
  </w:style>
  <w:style w:type="table" w:customStyle="1" w:styleId="affe">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1">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2">
    <w:basedOn w:val="TableNormal5"/>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3">
    <w:basedOn w:val="TableNormal5"/>
    <w:pPr>
      <w:spacing w:after="0" w:line="240" w:lineRule="auto"/>
    </w:pPr>
    <w:tblPr>
      <w:tblStyleRowBandSize w:val="1"/>
      <w:tblStyleColBandSize w:val="1"/>
      <w:tblCellMar>
        <w:left w:w="115" w:type="dxa"/>
        <w:right w:w="115" w:type="dxa"/>
      </w:tblCellMar>
    </w:tblPr>
  </w:style>
  <w:style w:type="table" w:customStyle="1" w:styleId="afff4">
    <w:basedOn w:val="TableNormal5"/>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46.htm" TargetMode="External"/><Relationship Id="rId13" Type="http://schemas.openxmlformats.org/officeDocument/2006/relationships/hyperlink" Target="mailto:bpes@secult.e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a.cultura.e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ult.es.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cult.es.gov.b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XPVH6YEtjY+IHL1lsZCvQSweA==">CgMxLjAaHwoBMBIaChgICVIUChJ0YWJsZS5oOHVibnFweGo0b3gaHwoBMRIaChgICVIUChJ0YWJsZS50aWxnYWZyYTZ3Y3IaHwoBMhIaChgICVIUChJ0YWJsZS53N2t3dGRqNWttNmIaHgoBMxIZChcICVITChF0YWJsZS5jZDEyaTRvNGM3ehofCgE0EhoKGAgJUhQKEnRhYmxlLnVrZGhzbThsbzVwcxofCgE1EhoKGAgJUhQKEnRhYmxlLjZjYmxzb3VrY2J0MxofCgE2EhoKGAgJUhQKEnRhYmxlLjRzMDQ1Z3g0dWtncTIOaC5mM3JrbHBndGVnNXQyCWguM3JkY3JqbjgAciExNF9EeVdDb0t5dWluclFUWmlUZUw4SDJNQ3REcktCN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5333</Words>
  <Characters>28800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Adriano Dallapicola Veenings</dc:creator>
  <cp:lastModifiedBy>João Adriano Dallapicola Veenings</cp:lastModifiedBy>
  <cp:revision>2</cp:revision>
  <dcterms:created xsi:type="dcterms:W3CDTF">2025-03-18T20:57:00Z</dcterms:created>
  <dcterms:modified xsi:type="dcterms:W3CDTF">2025-03-18T20:57:00Z</dcterms:modified>
</cp:coreProperties>
</file>