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20" w:lineRule="auto"/>
        <w:jc w:val="center"/>
        <w:rPr>
          <w:rFonts w:ascii="Arial Narrow" w:cs="Arial Narrow" w:eastAsia="Arial Narrow" w:hAnsi="Arial Narrow"/>
          <w:b w:val="1"/>
          <w:color w:val="212529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212529"/>
          <w:sz w:val="26"/>
          <w:szCs w:val="26"/>
          <w:u w:val="single"/>
          <w:rtl w:val="0"/>
        </w:rPr>
        <w:t xml:space="preserve">ANEXO VI - Plano de Comercialização: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Nome do projeto: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CNPJ do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7.0" w:type="dxa"/>
        <w:jc w:val="left"/>
        <w:tblInd w:w="10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47"/>
        <w:tblGridChange w:id="0">
          <w:tblGrid>
            <w:gridCol w:w="139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0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12529"/>
                <w:sz w:val="20"/>
                <w:szCs w:val="20"/>
                <w:rtl w:val="0"/>
              </w:rPr>
              <w:t xml:space="preserve">Descreva, objetivamente, como pretende comercializar o bem/produto/serviço do projeto financiado pela LICC, evidenciando aspectos sobre oportunidade de mercado; empresa e equipe; produto e concorrência; modelo financeiro e de receitas: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88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spacing w:before="22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212529"/>
          <w:sz w:val="20"/>
          <w:szCs w:val="20"/>
          <w:rtl w:val="0"/>
        </w:rPr>
        <w:t xml:space="preserve">DISTRIBUIÇÃO COMERCIAL: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8.38538023012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84.1721864162073"/>
        <w:gridCol w:w="1424.8032984534782"/>
        <w:gridCol w:w="1424.8032984534782"/>
        <w:gridCol w:w="1424.8032984534782"/>
        <w:gridCol w:w="1424.8032984534782"/>
        <w:gridCol w:w="1665"/>
        <w:gridCol w:w="1230"/>
        <w:gridCol w:w="1380"/>
        <w:tblGridChange w:id="0">
          <w:tblGrid>
            <w:gridCol w:w="3984.1721864162073"/>
            <w:gridCol w:w="1424.8032984534782"/>
            <w:gridCol w:w="1424.8032984534782"/>
            <w:gridCol w:w="1424.8032984534782"/>
            <w:gridCol w:w="1424.8032984534782"/>
            <w:gridCol w:w="1665"/>
            <w:gridCol w:w="1230"/>
            <w:gridCol w:w="1380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Produto/Evento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Nº de exemplares/ ingressos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Quantidade Total Disponível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Valor Unitário (R$)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Distribuição Gratuita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Total para Venda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Preço Normal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Preço Promocional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before="220" w:lineRule="auto"/>
              <w:jc w:val="center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Patrocinador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Outros*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Venda 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Venda Promocional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before="220" w:lineRule="auto"/>
              <w:jc w:val="center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3525"/>
        <w:tblGridChange w:id="0">
          <w:tblGrid>
            <w:gridCol w:w="2295"/>
            <w:gridCol w:w="3525"/>
          </w:tblGrid>
        </w:tblGridChange>
      </w:tblGrid>
      <w:tr>
        <w:trPr>
          <w:cantSplit w:val="0"/>
          <w:trHeight w:val="53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b7b7b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Expectativa de Receita</w:t>
            </w:r>
          </w:p>
        </w:tc>
      </w:tr>
      <w:tr>
        <w:trPr>
          <w:cantSplit w:val="0"/>
          <w:trHeight w:val="74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Receita Bruta: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Imposto (%):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Imposto (R$):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Receita Líquida:</w:t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before="220" w:lineRule="auto"/>
        <w:jc w:val="both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314325</wp:posOffset>
          </wp:positionH>
          <wp:positionV relativeFrom="paragraph">
            <wp:posOffset>142875</wp:posOffset>
          </wp:positionV>
          <wp:extent cx="877559" cy="663892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left="0" w:firstLine="0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      GOVERNO DO ESPÍRITO SANTO</w:t>
      <w:br w:type="textWrapping"/>
      <w:t xml:space="preserve">          SECRETARIA DE ESTADO DA CULTURA</w:t>
      <w:br w:type="textWrapping"/>
      <w:t xml:space="preserve">    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5/pMsr/rpXdd9pYTge1qYKQlA==">AMUW2mUy/zgiJIZiMy6KoaijfujOWc1p8qIedtCbdHsQJl8uVfVmpIelDRNbghsOYsTE5QdU/6WNhpIlc+adqG90a5qROCPXO+/rkOJiMwHMszwBJRsZwn8=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