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1694"/>
        <w:gridCol w:w="8084"/>
        <w:tblGridChange w:id="0">
          <w:tblGrid>
            <w:gridCol w:w="1694"/>
            <w:gridCol w:w="8084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ind w:left="0"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PARECERISTA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ind w:left="0"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À: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Comissão de Avaliação Permanente - CAP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ind w:left="0"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Proponente: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EMPRESA PROPONENTE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ind w:left="0"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Inscrição na LICC 2022: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COLOCAR O NÚMERO DA INSCRIÇÃO NO MAPA CULTURAL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ind w:left="0"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Projeto: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TÍTULO DO PROJETO CULTURAL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left="0" w:hanging="2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Carta de Intenção de Patrocínio: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ind w:left="0"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 OU NÃO </w:t>
            </w:r>
          </w:p>
        </w:tc>
      </w:tr>
    </w:tbl>
    <w:p w:rsidR="00000000" w:rsidDel="00000000" w:rsidP="00000000" w:rsidRDefault="00000000" w:rsidRPr="00000000" w14:paraId="0000000E">
      <w:pPr>
        <w:ind w:left="0" w:right="-306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4" w:val="single"/>
        </w:pBdr>
        <w:spacing w:line="360" w:lineRule="auto"/>
        <w:ind w:left="0"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CONTEXTUALIZAÇÃO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92" w:line="360" w:lineRule="auto"/>
        <w:ind w:left="0" w:right="-22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Contextualizar o motivo da elaboração do parecer e o projeto de forma geral.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92" w:line="360" w:lineRule="auto"/>
        <w:ind w:left="0" w:right="-22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importante colocar informações como: nome do proponente, valor total do projeto, linha de financiamento, objetivo do projeto, etc. de forma resumida e objetiva.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bottom w:color="000000" w:space="1" w:sz="4" w:val="single"/>
        </w:pBdr>
        <w:spacing w:line="360" w:lineRule="auto"/>
        <w:ind w:left="0"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ANÁLISE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Fazer uma análise geral da qualidade artística do projeto, colocar dados importantes para visualização da materialidade e exequibilidade do projeto.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82" w:line="360" w:lineRule="auto"/>
        <w:ind w:left="0" w:right="186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 Decreto Estadual nº 50-35-R, prevê, no artigo 14º, § 3º, as diretrizes que devem seguir os projetos culturais para que possam ser apreciados com a habilitação para captação de recursos através da LICC. Assim sendo, passo a analisá-los.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ind w:left="0" w:right="186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 - QUALIDADE ARTÍSTICA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Discorrer sobre a qualidade artística da proposta, fundamentadamente, e indicar se o projeto atende ou não a esse aspecto, e quando couber sugerir pedido de diligência para complementação de informações/documentos.</w:t>
      </w:r>
    </w:p>
    <w:p w:rsidR="00000000" w:rsidDel="00000000" w:rsidP="00000000" w:rsidRDefault="00000000" w:rsidRPr="00000000" w14:paraId="00000017">
      <w:pPr>
        <w:widowControl w:val="0"/>
        <w:spacing w:before="82" w:line="360" w:lineRule="auto"/>
        <w:ind w:left="0" w:right="18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Verificar o atendimento à acessibilidade obrigatória, disposto nos Artigos 10 e 11 da IN..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ind w:left="0" w:right="186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II - ATENDIMENTO AO INTERESSE PÚBLICO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Discorrer sobre o atendimento ao interesse público, fundamentado no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Decreto Estadual nº 5035-R (artigo 3º)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indicar se o projeto atende ou não a esse aspecto, e quando couber sugerir pedido de diligência para complementação de informações/documentos.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ind w:left="0" w:right="186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III - EXPERIÊNCIA E CAPACIDADE TÉCNICA DO AGENTE CULTURAL E DA EQUIPE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Discorrer sobre a experiência e capacidade técnica do agente cultural e da equipe de trabalho, de acordo com os currículos, portfólios, clipping e demais documentos que o proponente apresentar a título de comprovação de atuação, sua e de sua equipe. 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Importante comparar a função a ser desempenhada no projeto cultural e as funções comprovadas através de currículos e/ou portfólios.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Documentos importantes a serem observados: ficha técnica do projeto, ficha artística, currículos, portfólio, clipping, e carta de anuência.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final, indicar se o projeto atende ou não a esse aspecto, e quando couber sugerir pedido de diligência para complementação de informações/documentos.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00" w:line="240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IV - CLAREZA E CONCISÃO DAS INFORMAÇÕES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Discorrer sobre a clareza e concisão das informações trazidas pelo proponente. Aqui é importante observar o que foi escrito no objeto do projeto, no detalhamento das ações do projeto e na justificativa do projeto. 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Verificar a (in)compatibilidade das informações trazidas e a planilha de custos.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Verificar se existem informações conflitantes (data, local, quantidade, etc.).</w:t>
      </w:r>
    </w:p>
    <w:p w:rsidR="00000000" w:rsidDel="00000000" w:rsidP="00000000" w:rsidRDefault="00000000" w:rsidRPr="00000000" w14:paraId="00000023">
      <w:pPr>
        <w:widowControl w:val="0"/>
        <w:spacing w:after="200"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Ao final, indicar se o projeto atende ou não a esse aspecto, e quando couber sugerir pedido de diligência para complementação de informações/documentos.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ind w:left="0" w:right="186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V - VIABILIDADE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Discorrer sobre a viabilidade técnica do projeto: tempo de execução apropriado (cronograma simplificado de execução), local apropriado de realização do projeto, planilha de custos condizente com as ações previstas, experiência da equipe técnica, etc.</w:t>
      </w:r>
    </w:p>
    <w:p w:rsidR="00000000" w:rsidDel="00000000" w:rsidP="00000000" w:rsidRDefault="00000000" w:rsidRPr="00000000" w14:paraId="00000026">
      <w:pPr>
        <w:widowControl w:val="0"/>
        <w:spacing w:after="200"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Ao final, indicar se o projeto atende ou não a esse aspecto, e quando couber sugerir pedido de diligência para complementação de informações/documentos.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ind w:left="0" w:right="186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VI - ADEQUAÇÃO DA PROPOSTA ORÇAMENTÁRIA AOS VALORES DE MERCADO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Discorrer sobre a proposta orçamentária, observando todo o disposto nos art. 23 ao 34 da Instrução Normativa 001/25.</w:t>
      </w:r>
    </w:p>
    <w:p w:rsidR="00000000" w:rsidDel="00000000" w:rsidP="00000000" w:rsidRDefault="00000000" w:rsidRPr="00000000" w14:paraId="00000029">
      <w:pPr>
        <w:widowControl w:val="0"/>
        <w:spacing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Verificar se a planilha de custos apresentada é a mesma disponibilizada no site da secult. 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Verificar os valores colocados na planilha de custos com as referências apresentadas.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Verificar se os valores estão condizentes com o praticado no mercado e com a complexidade do projeto.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Verificar se o valor total destinado ao proponente não ultrapasse ⅓ do valor total do projeto (art. 26 da IN). Caso ultrapasse, verificar se o proponente apresentou justificativa para tanto.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Verificar a adequação das despesas relacionadas a elaboração de projeto e captação de recursos dispostas no art. 27 e 28 da IN.</w:t>
      </w:r>
    </w:p>
    <w:p w:rsidR="00000000" w:rsidDel="00000000" w:rsidP="00000000" w:rsidRDefault="00000000" w:rsidRPr="00000000" w14:paraId="0000002E">
      <w:pPr>
        <w:widowControl w:val="0"/>
        <w:spacing w:after="200"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Ao final, indicar se o projeto atende ou não a esse aspecto, e quando couber sugerir pedido de diligência para complementação de informações/documentos.</w:t>
      </w:r>
    </w:p>
    <w:p w:rsidR="00000000" w:rsidDel="00000000" w:rsidP="00000000" w:rsidRDefault="00000000" w:rsidRPr="00000000" w14:paraId="0000002F">
      <w:pPr>
        <w:widowControl w:val="0"/>
        <w:spacing w:after="200" w:before="82" w:line="360" w:lineRule="auto"/>
        <w:ind w:left="0" w:right="186" w:hanging="2"/>
        <w:jc w:val="both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ATENÇÃO: é indispensável que o parecerista analise item por item da planilha de custos. 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00" w:line="276" w:lineRule="auto"/>
        <w:ind w:left="0" w:right="186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VII - ADEQUAÇÃO DO 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Discorrer sobre 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cronograma de execução apresentado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 viabilidade de execução do cronograma proposto e se precisa ou não de ajuste.</w:t>
      </w:r>
    </w:p>
    <w:p w:rsidR="00000000" w:rsidDel="00000000" w:rsidP="00000000" w:rsidRDefault="00000000" w:rsidRPr="00000000" w14:paraId="00000032">
      <w:pPr>
        <w:widowControl w:val="0"/>
        <w:spacing w:after="200"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Ao final, indicar se o projeto atende ou não a esse aspecto, e quando couber sugerir pedido de diligência para complementação de informações/documentos.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VIII - ENQUADRAMENTO NOS PERCENTUAIS DE INCENTIVO AUTORIZADOS PELA LEGISLAÇÃO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82" w:line="360" w:lineRule="auto"/>
        <w:ind w:left="0" w:right="186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 Instrução Normativa Nº 00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assim estabeleceu sobre limites do valor individual captado pela LICC: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360" w:lineRule="auto"/>
        <w:ind w:left="0" w:right="186" w:hanging="2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“Art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. 14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Para os incisos I, II, III, IV, V e VI do artigo 9º, o valor captado na LICC  por projeto não poderá ser superior a R$500.000,00 (quinhentos mil reais).</w:t>
      </w:r>
    </w:p>
    <w:p w:rsidR="00000000" w:rsidDel="00000000" w:rsidP="00000000" w:rsidRDefault="00000000" w:rsidRPr="00000000" w14:paraId="00000036">
      <w:pPr>
        <w:spacing w:after="200" w:line="288" w:lineRule="auto"/>
        <w:ind w:lef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§ 1º No caso de planos plurianuais, conforme previsto no inciso III do artigo 9º, o teto de R$500.000,00 (quinhentos mil reais) refere-se a cada ano de execução.</w:t>
      </w:r>
    </w:p>
    <w:p w:rsidR="00000000" w:rsidDel="00000000" w:rsidP="00000000" w:rsidRDefault="00000000" w:rsidRPr="00000000" w14:paraId="00000037">
      <w:pPr>
        <w:spacing w:after="200" w:line="288" w:lineRule="auto"/>
        <w:ind w:lef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§ 2º No caso de projetos cujo objeto seja a realização de eventos na sua primeira edição, fica estabelecido que o limite de valor individual captado na LICC não poderá ser superior a R$300.000,00 (trezentos mil reais).</w:t>
      </w:r>
    </w:p>
    <w:p w:rsidR="00000000" w:rsidDel="00000000" w:rsidP="00000000" w:rsidRDefault="00000000" w:rsidRPr="00000000" w14:paraId="00000038">
      <w:pPr>
        <w:spacing w:after="200" w:line="288" w:lineRule="auto"/>
        <w:ind w:left="0" w:firstLine="0"/>
        <w:jc w:val="both"/>
        <w:rPr>
          <w:rFonts w:ascii="Calibri" w:cs="Calibri" w:eastAsia="Calibri" w:hAnsi="Calibri"/>
          <w:i w:val="1"/>
          <w:strike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Art. 15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Para o inciso V do artigo 9º, especificamente para projetos que necessitem de intervenção física (restauros e reformas, entre outros), o valor captado via LICC terá o limite de R$ 1.000.000,00 (um milhão de reais) por projeto.</w:t>
      </w:r>
      <w:r w:rsidDel="00000000" w:rsidR="00000000" w:rsidRPr="00000000">
        <w:rPr>
          <w:rFonts w:ascii="Calibri" w:cs="Calibri" w:eastAsia="Calibri" w:hAnsi="Calibri"/>
          <w:i w:val="1"/>
          <w:strike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spacing w:after="200" w:line="288" w:lineRule="auto"/>
        <w:ind w:lef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Art. 16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Para o inciso VI do artigo 9º, especificamente para projetos que envolvam produção de longa-metragem de ficção, animação, documentário e obra seriada, o valor captado na LICC por projeto poderá atingir o valor de até R$1.000.000,00 (um milhão de reais).</w:t>
      </w:r>
    </w:p>
    <w:p w:rsidR="00000000" w:rsidDel="00000000" w:rsidP="00000000" w:rsidRDefault="00000000" w:rsidRPr="00000000" w14:paraId="0000003A">
      <w:pPr>
        <w:spacing w:after="200" w:line="288" w:lineRule="auto"/>
        <w:ind w:lef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§ 1º Para enquadramento no caput deste artigo, entende-se como produção de longa-metragem obra audiovisual com duração superior a 70 minutos com destinação ao mercado de salas de exibição;</w:t>
      </w:r>
    </w:p>
    <w:p w:rsidR="00000000" w:rsidDel="00000000" w:rsidP="00000000" w:rsidRDefault="00000000" w:rsidRPr="00000000" w14:paraId="0000003B">
      <w:pPr>
        <w:spacing w:after="200" w:line="288" w:lineRule="auto"/>
        <w:ind w:left="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§ 2º Para enquadramento no caput deste artigo, entende-se como projetos de produção de obra seriada que, sob o mesmo título, seja produzida em capítulos ou episódios, com duração total superior a 70 minutos.</w:t>
      </w:r>
    </w:p>
    <w:p w:rsidR="00000000" w:rsidDel="00000000" w:rsidP="00000000" w:rsidRDefault="00000000" w:rsidRPr="00000000" w14:paraId="0000003C">
      <w:pPr>
        <w:spacing w:line="276" w:lineRule="auto"/>
        <w:ind w:left="0" w:firstLine="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Art. 17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Para projetos apresentados por agente cultural que seja Microempreendedor Individual (MEI) o limite máximo de financiamento através da LICC é de até duas vezes o limite de faturamento anual autorizado pelo órgão competente no ano de inscrição.”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="24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="24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Tendo isso em mente, indicar se o projeto atende ou não a esse aspecto, e quando couber sugerir pedido de diligência para complementação de informações/documentos.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12" w:lineRule="auto"/>
        <w:ind w:left="0" w:right="186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IX - ATENDIMENTO ÀS CONTRAPARTIDAS PREVISTAS EM REGULAMENTO DA SECULT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="312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Apontar as contrapartidas oferecidas pelo proponente e a relação ao artigo 36 da IN por ele apontada, discorrer sobre elas, avaliando a sua exequibilidade e se atendem, ou não, o previsto na IN.</w:t>
      </w:r>
    </w:p>
    <w:p w:rsidR="00000000" w:rsidDel="00000000" w:rsidP="00000000" w:rsidRDefault="00000000" w:rsidRPr="00000000" w14:paraId="00000041">
      <w:pPr>
        <w:widowControl w:val="0"/>
        <w:spacing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Ao final, indicar se o projeto atende ou não a esse aspecto, e quando couber sugerir pedido de diligência para complementação de informações/documentos.</w:t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="312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bottom w:color="000000" w:space="1" w:sz="4" w:val="single"/>
        </w:pBdr>
        <w:spacing w:line="360" w:lineRule="auto"/>
        <w:ind w:left="0"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Dar um panorama geral sobre o projeto e identificar a sugestão final aos membros da CAP quanto à habilitação, inabilitação ou listar diligências sugeridas para complementação de informações/documentos.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="360" w:lineRule="auto"/>
        <w:ind w:left="0" w:right="186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RESPONSÁVEL PELO PARECER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76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76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Vitória/ES, 18 de julho de 2022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76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76" w:lineRule="auto"/>
        <w:ind w:left="0" w:hanging="2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76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Parecerista – Lei de Incentivo à Cultura Capixaba (LICC)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76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(assinado digitalmente)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76" w:lineRule="auto"/>
        <w:ind w:left="0" w:hanging="2"/>
        <w:jc w:val="both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02" w:top="1213" w:left="1440" w:right="849" w:header="425" w:footer="29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Verdan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ind w:left="0" w:hanging="2"/>
      <w:rPr/>
    </w:pPr>
    <w:r w:rsidDel="00000000" w:rsidR="00000000" w:rsidRPr="00000000">
      <w:rPr>
        <w:rtl w:val="0"/>
      </w:rPr>
    </w:r>
  </w:p>
  <w:tbl>
    <w:tblPr>
      <w:tblStyle w:val="Table4"/>
      <w:tblW w:w="10106.0" w:type="dxa"/>
      <w:jc w:val="left"/>
      <w:tblLayout w:type="fixed"/>
      <w:tblLook w:val="0000"/>
    </w:tblPr>
    <w:tblGrid>
      <w:gridCol w:w="6790"/>
      <w:gridCol w:w="3316"/>
      <w:tblGridChange w:id="0">
        <w:tblGrid>
          <w:gridCol w:w="6790"/>
          <w:gridCol w:w="3316"/>
        </w:tblGrid>
      </w:tblGridChange>
    </w:tblGrid>
    <w:tr>
      <w:trPr>
        <w:cantSplit w:val="0"/>
        <w:trHeight w:val="297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center"/>
            <w:rPr>
              <w:rFonts w:ascii="Verdana" w:cs="Verdana" w:eastAsia="Verdana" w:hAnsi="Verdana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Verdana" w:cs="Verdana" w:eastAsia="Verdana" w:hAnsi="Verdana"/>
              <w:color w:val="000000"/>
              <w:sz w:val="12"/>
              <w:szCs w:val="12"/>
              <w:rtl w:val="0"/>
            </w:rPr>
            <w:t xml:space="preserve">                              Rua Luiz Gonzáles Alvarado- 51 - Enseada do Suá - CEP: 29.050-380 - Vitória / ES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right"/>
            <w:rPr>
              <w:rFonts w:ascii="Verdana" w:cs="Verdana" w:eastAsia="Verdana" w:hAnsi="Verdana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Verdana" w:cs="Verdana" w:eastAsia="Verdana" w:hAnsi="Verdana"/>
              <w:color w:val="000000"/>
              <w:sz w:val="12"/>
              <w:szCs w:val="12"/>
              <w:rtl w:val="0"/>
            </w:rPr>
            <w:t xml:space="preserve">Página </w:t>
          </w:r>
          <w:r w:rsidDel="00000000" w:rsidR="00000000" w:rsidRPr="00000000">
            <w:rPr>
              <w:rFonts w:ascii="Verdana" w:cs="Verdana" w:eastAsia="Verdana" w:hAnsi="Verdana"/>
              <w:color w:val="000000"/>
              <w:sz w:val="12"/>
              <w:szCs w:val="1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9757.0" w:type="dxa"/>
      <w:jc w:val="left"/>
      <w:tblLayout w:type="fixed"/>
      <w:tblLook w:val="0000"/>
    </w:tblPr>
    <w:tblGrid>
      <w:gridCol w:w="9437"/>
      <w:gridCol w:w="160"/>
      <w:gridCol w:w="160"/>
      <w:tblGridChange w:id="0">
        <w:tblGrid>
          <w:gridCol w:w="9437"/>
          <w:gridCol w:w="160"/>
          <w:gridCol w:w="160"/>
        </w:tblGrid>
      </w:tblGridChange>
    </w:tblGrid>
    <w:tr>
      <w:trPr>
        <w:cantSplit w:val="1"/>
        <w:trHeight w:val="699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F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76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3"/>
            <w:tblW w:w="9923.0" w:type="dxa"/>
            <w:jc w:val="left"/>
            <w:tblInd w:w="70.0" w:type="dxa"/>
            <w:tblLayout w:type="fixed"/>
            <w:tblLook w:val="0000"/>
          </w:tblPr>
          <w:tblGrid>
            <w:gridCol w:w="1134"/>
            <w:gridCol w:w="3969"/>
            <w:gridCol w:w="4820"/>
            <w:tblGridChange w:id="0">
              <w:tblGrid>
                <w:gridCol w:w="1134"/>
                <w:gridCol w:w="3969"/>
                <w:gridCol w:w="4820"/>
              </w:tblGrid>
            </w:tblGridChange>
          </w:tblGrid>
          <w:tr>
            <w:trPr>
              <w:cantSplit w:val="0"/>
              <w:trHeight w:val="1129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50">
                <w:pPr>
                  <w:ind w:left="0" w:hanging="2"/>
                  <w:jc w:val="center"/>
                  <w:rPr>
                    <w:rFonts w:ascii="Verdana" w:cs="Verdana" w:eastAsia="Verdana" w:hAnsi="Verdana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-15238</wp:posOffset>
                      </wp:positionH>
                      <wp:positionV relativeFrom="paragraph">
                        <wp:posOffset>-24128</wp:posOffset>
                      </wp:positionV>
                      <wp:extent cx="673735" cy="709295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3735" cy="7092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1">
                <w:pPr>
                  <w:ind w:left="0" w:hanging="2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18"/>
                    <w:szCs w:val="18"/>
                    <w:rtl w:val="0"/>
                  </w:rPr>
                  <w:t xml:space="preserve">Governo do Estado do Espírito Santo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ind w:left="0" w:hanging="2"/>
                  <w:rPr>
                    <w:rFonts w:ascii="Verdana" w:cs="Verdana" w:eastAsia="Verdana" w:hAnsi="Verdana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16"/>
                    <w:szCs w:val="16"/>
                    <w:rtl w:val="0"/>
                  </w:rPr>
                  <w:t xml:space="preserve">Secretaria de Estado da Cultura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line="240" w:lineRule="auto"/>
                  <w:rPr>
                    <w:rFonts w:ascii="Verdana" w:cs="Verdana" w:eastAsia="Verdana" w:hAnsi="Verdana"/>
                    <w:color w:val="000000"/>
                    <w:sz w:val="14"/>
                    <w:szCs w:val="14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color w:val="000000"/>
                    <w:sz w:val="14"/>
                    <w:szCs w:val="14"/>
                    <w:highlight w:val="white"/>
                    <w:rtl w:val="0"/>
                  </w:rPr>
                  <w:t xml:space="preserve">Subsecretaria de Estado de Políticas Culturais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rPr>
                    <w:rFonts w:ascii="Verdana" w:cs="Verdana" w:eastAsia="Verdana" w:hAnsi="Verdana"/>
                    <w:sz w:val="14"/>
                    <w:szCs w:val="1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55">
                <w:p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tabs>
                    <w:tab w:val="left" w:leader="none" w:pos="9923"/>
                  </w:tabs>
                  <w:spacing w:line="240" w:lineRule="auto"/>
                  <w:ind w:left="0" w:hanging="2"/>
                  <w:rPr>
                    <w:rFonts w:ascii="Verdana" w:cs="Verdana" w:eastAsia="Verdana" w:hAnsi="Verdana"/>
                    <w:color w:val="000000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color w:val="000000"/>
                    <w:sz w:val="22"/>
                    <w:szCs w:val="22"/>
                    <w:rtl w:val="0"/>
                  </w:rPr>
                  <w:t xml:space="preserve">PARECER TÉCNICO CULTURAL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line="240" w:lineRule="auto"/>
                  <w:ind w:left="-2" w:right="141" w:firstLine="0"/>
                  <w:jc w:val="center"/>
                  <w:rPr>
                    <w:rFonts w:ascii="Verdana" w:cs="Verdana" w:eastAsia="Verdana" w:hAnsi="Verdana"/>
                    <w:color w:val="000000"/>
                    <w:sz w:val="2"/>
                    <w:szCs w:val="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57">
          <w:pPr>
            <w:ind w:left="0" w:hanging="2"/>
            <w:jc w:val="center"/>
            <w:rPr>
              <w:rFonts w:ascii="Verdana" w:cs="Verdana" w:eastAsia="Verdana" w:hAnsi="Verdana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5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Verdana" w:cs="Verdana" w:eastAsia="Verdana" w:hAnsi="Verdana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-2" w:right="141" w:firstLine="0"/>
            <w:jc w:val="center"/>
            <w:rPr>
              <w:rFonts w:ascii="Verdana" w:cs="Verdana" w:eastAsia="Verdana" w:hAnsi="Verdana"/>
              <w:color w:val="000000"/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12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Verdana" w:cs="Verdana" w:eastAsia="Verdana" w:hAnsi="Verdana"/>
              <w:color w:val="000000"/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Verdana" w:cs="Verdana" w:eastAsia="Verdana" w:hAnsi="Verdana"/>
              <w:color w:val="000000"/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-2" w:right="141" w:firstLine="0"/>
            <w:rPr>
              <w:rFonts w:ascii="Verdana" w:cs="Verdana" w:eastAsia="Verdana" w:hAnsi="Verdana"/>
              <w:color w:val="000000"/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3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Verdana" w:cs="Verdana" w:eastAsia="Verdana" w:hAnsi="Verdana"/>
              <w:color w:val="000000"/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Verdana" w:cs="Verdana" w:eastAsia="Verdana" w:hAnsi="Verdana"/>
              <w:color w:val="000000"/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right="141" w:hanging="2"/>
            <w:jc w:val="right"/>
            <w:rPr>
              <w:rFonts w:ascii="Verdana" w:cs="Verdana" w:eastAsia="Verdana" w:hAnsi="Verdana"/>
              <w:color w:val="ff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0">
    <w:pPr>
      <w:ind w:left="-2" w:firstLine="0"/>
      <w:rPr>
        <w:rFonts w:ascii="Verdana" w:cs="Verdana" w:eastAsia="Verdana" w:hAnsi="Verdana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jc w:val="center"/>
      <w:rPr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color w:val="000000"/>
      <w:sz w:val="26"/>
      <w:szCs w:val="26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</w:pPr>
    <w:rPr>
      <w:sz w:val="24"/>
    </w:rPr>
  </w:style>
  <w:style w:type="paragraph" w:styleId="Ttulo2">
    <w:name w:val="heading 2"/>
    <w:basedOn w:val="Normal"/>
    <w:next w:val="Normal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pPr>
      <w:jc w:val="center"/>
    </w:pPr>
    <w:rPr>
      <w:rFonts w:ascii="Arial" w:cs="Arial" w:hAnsi="Arial"/>
      <w:b w:val="1"/>
      <w:bCs w:val="1"/>
      <w:color w:val="000000"/>
      <w:sz w:val="26"/>
    </w:rPr>
  </w:style>
  <w:style w:type="numbering" w:styleId="Estilo1" w:customStyle="1">
    <w:name w:val="Estilo1"/>
    <w:basedOn w:val="Semlista"/>
  </w:style>
  <w:style w:type="numbering" w:styleId="Estilo2" w:customStyle="1">
    <w:name w:val="Estilo2"/>
    <w:basedOn w:val="Semlista"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vermelho" w:customStyle="1">
    <w:name w:val="vermelh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Char" w:customStyle="1">
    <w:name w:val="Título Char"/>
    <w:rPr>
      <w:rFonts w:ascii="Arial" w:cs="Arial" w:hAnsi="Arial"/>
      <w:b w:val="1"/>
      <w:bCs w:val="1"/>
      <w:color w:val="000000"/>
      <w:w w:val="100"/>
      <w:position w:val="-1"/>
      <w:sz w:val="2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100" w:afterAutospacing="1" w:before="100" w:beforeAutospacing="1"/>
    </w:pPr>
    <w:rPr>
      <w:sz w:val="24"/>
      <w:szCs w:val="24"/>
    </w:rPr>
  </w:style>
  <w:style w:type="paragraph" w:styleId="Commarcadores">
    <w:name w:val="List Bullet"/>
    <w:basedOn w:val="Normal"/>
    <w:pPr>
      <w:numPr>
        <w:numId w:val="3"/>
      </w:numPr>
      <w:ind w:left="-1" w:hanging="1"/>
      <w:contextualSpacing w:val="1"/>
    </w:pPr>
    <w:rPr>
      <w:rFonts w:ascii="Arial" w:hAnsi="Arial"/>
      <w:sz w:val="24"/>
    </w:rPr>
  </w:style>
  <w:style w:type="character" w:styleId="fontstyle01" w:customStyle="1">
    <w:name w:val="fontstyle01"/>
    <w:rPr>
      <w:rFonts w:ascii="Times New Roman" w:cs="Times New Roman" w:hAnsi="Times New Roman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autoSpaceDE w:val="0"/>
      <w:autoSpaceDN w:val="0"/>
    </w:pPr>
    <w:rPr>
      <w:rFonts w:ascii="Arial" w:cs="Arial" w:eastAsia="Arial" w:hAnsi="Arial"/>
      <w:sz w:val="24"/>
      <w:szCs w:val="24"/>
      <w:lang w:eastAsia="en-US" w:val="pt-PT"/>
    </w:rPr>
  </w:style>
  <w:style w:type="character" w:styleId="CorpodetextoChar" w:customStyle="1">
    <w:name w:val="Corpo de texto Char"/>
    <w:rPr>
      <w:rFonts w:ascii="Arial" w:cs="Arial" w:eastAsia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en-US" w:val="pt-PT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Open Sans" w:cs="Open Sans" w:hAnsi="Open Sans"/>
      <w:color w:val="000000"/>
      <w:position w:val="-1"/>
      <w:sz w:val="24"/>
      <w:szCs w:val="24"/>
    </w:rPr>
  </w:style>
  <w:style w:type="paragraph" w:styleId="MapadoDocumento">
    <w:name w:val="Document Map"/>
    <w:basedOn w:val="Normal"/>
    <w:qFormat w:val="1"/>
    <w:rPr>
      <w:rFonts w:ascii="Tahoma" w:cs="Tahoma" w:hAnsi="Tahoma"/>
      <w:sz w:val="16"/>
      <w:szCs w:val="16"/>
    </w:rPr>
  </w:style>
  <w:style w:type="character" w:styleId="MapadoDocumentoChar" w:customStyle="1">
    <w:name w:val="Mapa do Document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 w:val="1"/>
  </w:style>
  <w:style w:type="character" w:styleId="TextodenotaderodapChar" w:customStyle="1">
    <w:name w:val="Texto de nota de 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Textodenotadefim">
    <w:name w:val="endnote text"/>
    <w:basedOn w:val="Normal"/>
    <w:qFormat w:val="1"/>
  </w:style>
  <w:style w:type="character" w:styleId="TextodenotadefimChar" w:customStyle="1">
    <w:name w:val="Texto de nota de fim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tuloChar" w:customStyle="1">
    <w:name w:val="Subtítulo Char"/>
    <w:rPr>
      <w:rFonts w:ascii="Calibri Light" w:cs="Times New Roman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ktiTroXx2zVjagCVfwrO4QGRtg==">CgMxLjAyCGguZ2pkZ3hzOAByITEtNE5BQUJ3N2ZRTUp0ektzTGZBVlVvX3VEdTFQcGdjag==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2022-07-12T18:12:00Z</dcterms:created>
  <dc:creator>Secretaria de Estado da Cultura</dc:creator>
</cp:coreProperties>
</file>