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Layout w:type="fixed"/>
        <w:tblLook w:val="0000"/>
      </w:tblPr>
      <w:tblGrid>
        <w:gridCol w:w="1694"/>
        <w:gridCol w:w="8084"/>
        <w:tblGridChange w:id="0">
          <w:tblGrid>
            <w:gridCol w:w="1694"/>
            <w:gridCol w:w="8084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Da: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PARECERISTA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Comissão de Avaliação Permanente - CAP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Proponente: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EMPRESA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Inscrição na LICC 2022: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COLOCAR O NÚMERO DA INSCRIÇÃO NO MAPA 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Projeto: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PROJETO 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Processo: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COLOCAR O NÚMERO DO PROCESSO NO E-DOCS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Carta de Intenção de Patrocínio: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 OU NÃO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right="-306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spacing w:line="360" w:lineRule="auto"/>
        <w:jc w:val="righ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CONTEXTUALIZAÇÃO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2" w:line="360" w:lineRule="auto"/>
        <w:ind w:left="0" w:right="-2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Contextualizar o motivo da elaboração do parecer e o projeto de forma geral.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92" w:line="360" w:lineRule="auto"/>
        <w:ind w:left="0" w:right="-2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importante colocar informações como: nome do proponente, valor total do projeto, linha de financiamento, objetivo do projeto, etc. de forma resumida e objetiva.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spacing w:line="360" w:lineRule="auto"/>
        <w:jc w:val="righ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ANÁLISE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Fazer uma análise geral da qualidade artística do projeto, colocar dados importantes para visualização da materialidade e exequibilidade do projeto.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2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Decreto Estadual nº 50-35-R, prevê, no artigo 14º, § 3º, as diretrizes que devem seguir os projetos culturais para que possam ser apreciados com a habilitação para captação de recursos através da LICC. Assim sendo, passo a analisá-los.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- QUALIDADE ARTÍSTICA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2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a qualidade artística da proposta, fundamentadamente, e indicar se o projeto atende ou não a esse aspecto, e quando couber sugerir pedido de diligência para complementação de informações/documentos.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- ATENDIMENTO AO INTERESSE PÚBLICO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o atendimento ao interesse público, fundamentado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Estadual nº 5035-R (artigo 3º)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- EXPERIÊNCIA E CAPACIDADE TÉCNICA DO AGENTE CULTURAL E DA EQUIPE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a experiência e capacidade técnica do agente cultural e da equipe de trabalho, de acordo com os currículos, portfólios, clipping e demais documentos que o proponente apresentar a título de comprovação de atuação, sua e de sua equipe.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Importante comparar a função a ser desempenhada no projeto cultural e as funções comprovadas através de currículos e/ou portfólios.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Documentos importantes a serem observados: ficha técnica do projeto, ficha artística, currículos, portfólio, clipping, e carta de anuência.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- CLAREZA E CONCISÃO DAS INFORMAÇÕES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a clareza e concisão das informações trazidas pelo proponente. Aqui é importante observar o que foi escrito no objeto do projeto, no detalhamento das ações do projeto e na justificativa do projeto.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a (in)compatibilidade das informações trazidas e a planilha de custos.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se existem informações conflitantes (data, local, quantidade, etc.).</w:t>
      </w:r>
    </w:p>
    <w:p w:rsidR="00000000" w:rsidDel="00000000" w:rsidP="00000000" w:rsidRDefault="00000000" w:rsidRPr="00000000" w14:paraId="00000024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- VIABILIDADE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a viabilidade técnica do projeto: tempo de execução apropriado (cronograma simplificado de execução), local apropriado de realização do projeto, planilha de custos condizente com as ações previstas, experiência da equipe técnica, etc.</w:t>
      </w:r>
    </w:p>
    <w:p w:rsidR="00000000" w:rsidDel="00000000" w:rsidP="00000000" w:rsidRDefault="00000000" w:rsidRPr="00000000" w14:paraId="00000027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28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- ADEQUAÇÃO DA PROPOSTA ORÇAMENTÁRIA AOS VALORES DE MERCADO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a proposta orçamentária, observando todo o disposto nos art. 14 ao 27 da Instrução Normativa.</w:t>
      </w:r>
    </w:p>
    <w:p w:rsidR="00000000" w:rsidDel="00000000" w:rsidP="00000000" w:rsidRDefault="00000000" w:rsidRPr="00000000" w14:paraId="0000002B">
      <w:pPr>
        <w:widowControl w:val="0"/>
        <w:spacing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se a planilha de custos apresentada é a mesma disponibilizada no site da secult.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os valores colocados na planilha de custos com as referências apresentadas.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se os valores estão condizentes com o praticado no mercado e com a complexidade do projeto.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se o valor total destinado ao proponente não ultrapasse ⅓ do valor total do projeto (art. 17 da IN). Caso ultrapasse, verificar se o proponente apresentou justificativa para tanto.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a adequação das despesas relacionadas a elaboração de projeto e captação de recursos dispostas no art. 18 da IN.</w:t>
      </w:r>
    </w:p>
    <w:p w:rsidR="00000000" w:rsidDel="00000000" w:rsidP="00000000" w:rsidRDefault="00000000" w:rsidRPr="00000000" w14:paraId="00000030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 - ADEQUAÇÃO DO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Discorrer sobre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apresentado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viabilidade de execução do cronograma proposto e se precisa ou não de ajuste.</w:t>
      </w:r>
    </w:p>
    <w:p w:rsidR="00000000" w:rsidDel="00000000" w:rsidP="00000000" w:rsidRDefault="00000000" w:rsidRPr="00000000" w14:paraId="00000033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- ENQUADRAMENTO NOS PERCENTUAIS DE INCENTIVO AUTORIZADOS PELA LEGISLAÇÃO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Instrução Normativa Nº 002/2022 assim estabeleceu sobre limites do valor individual captado pela LICC: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12" w:lineRule="auto"/>
        <w:ind w:left="2268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os incisos I, II, III, IV e VI do artigo 7o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valor individual captado na LICC de cada projeto cultural não poderá ser superior a 5% do valor total anual previsto no montante dos recursos destinados ao incentivo fiscal pela LICC definido em ato do Secretário da Secretaria Estadual da Fazenda (SEFAZ).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total anual do ano de 2022 foi previsto na Portaria da Sefaz Nº 09-R, De 27 De Janeiro De 2022, estabelecendo o limite de R$ 10.000.000,00, conforme segue: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2268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1o Fixar o montante de recursos disponíveis no ano de 2022 para o financiamento dos projetos culturais, em observância ao art. 4o do Decreto no 5.035-R, de 15 de dezembro de 2021, no valor de R$10.000.000,00 (dez milhões de reais).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2268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Tendo isso em mente, observar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limite disposto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artigo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ao 11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IN, bem como o arti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17.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 - ATENDIMENTO ÀS CONTRAPARTIDAS PREVISTAS EM REGULAMENTO DA SECULT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12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Apontar as contrapartidas oferecidas pelo proponente e a relação ao artigo 27 da IN por ele apontada, discorrer sobre elas, avaliando a sua exequibilidade e se atendem, ou não, o previsto na IN.</w:t>
      </w:r>
    </w:p>
    <w:p w:rsidR="00000000" w:rsidDel="00000000" w:rsidP="00000000" w:rsidRDefault="00000000" w:rsidRPr="00000000" w14:paraId="0000003F">
      <w:pPr>
        <w:widowControl w:val="0"/>
        <w:spacing w:before="82" w:line="360" w:lineRule="auto"/>
        <w:ind w:right="18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final, indicar se o projeto atende ou não a esse aspecto, e quando couber sugerir pedido de diligência para complementação de informações/documentos.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12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spacing w:line="360" w:lineRule="auto"/>
        <w:jc w:val="righ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Dar um panorama geral sobre o projeto e identificar a sugestão final aos membros da CAP quanto à habilitação, inabilitação ou listar diligências sugeridas para complementação de informações/documentos.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0" w:right="186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RESPONSÁVEL PELO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Vitória/ES, 18 de julho de 2022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Parecerista – Lei de Incentivo à Cultura Capixaba (LICC)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(assinado digitalmente)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02" w:top="1213" w:left="1440" w:right="849" w:header="425" w:footer="2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06.0" w:type="dxa"/>
      <w:jc w:val="left"/>
      <w:tblInd w:w="108.0" w:type="pct"/>
      <w:tblLayout w:type="fixed"/>
      <w:tblLook w:val="0000"/>
    </w:tblPr>
    <w:tblGrid>
      <w:gridCol w:w="6790"/>
      <w:gridCol w:w="3316"/>
      <w:tblGridChange w:id="0">
        <w:tblGrid>
          <w:gridCol w:w="6790"/>
          <w:gridCol w:w="3316"/>
        </w:tblGrid>
      </w:tblGridChange>
    </w:tblGrid>
    <w:tr>
      <w:trPr>
        <w:cantSplit w:val="0"/>
        <w:trHeight w:val="29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                              Rua Luiz Gonzáles Alvarado- 51 - Enseada do Suá - CEP: 29.050-380 - Vitória / ES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7º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Os projetos culturais poderão ser apresentados nas seguintes linhas de financiamento: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18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- Linguagens artísticas: [...]; II - Outros segmentos da economia criativa: [...]; III - Formatos especiais: [...]; IV - Patrimônio Imaterial, Povos e Comunidades Tradicionais e Culturas Tradicionais Populares. [...]; V - Patrimônio material. [...]; VI – Audiovisual [...]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57.0" w:type="dxa"/>
      <w:jc w:val="left"/>
      <w:tblInd w:w="0.0" w:type="dxa"/>
      <w:tblLayout w:type="fixed"/>
      <w:tblLook w:val="0000"/>
    </w:tblPr>
    <w:tblGrid>
      <w:gridCol w:w="9465"/>
      <w:gridCol w:w="146"/>
      <w:gridCol w:w="146"/>
      <w:tblGridChange w:id="0">
        <w:tblGrid>
          <w:gridCol w:w="9465"/>
          <w:gridCol w:w="146"/>
          <w:gridCol w:w="146"/>
        </w:tblGrid>
      </w:tblGridChange>
    </w:tblGrid>
    <w:tr>
      <w:trPr>
        <w:cantSplit w:val="1"/>
        <w:trHeight w:val="699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9923.0" w:type="dxa"/>
            <w:jc w:val="left"/>
            <w:tblInd w:w="70.0" w:type="dxa"/>
            <w:tblLayout w:type="fixed"/>
            <w:tblLook w:val="0000"/>
          </w:tblPr>
          <w:tblGrid>
            <w:gridCol w:w="1134"/>
            <w:gridCol w:w="3969"/>
            <w:gridCol w:w="4820"/>
            <w:tblGridChange w:id="0">
              <w:tblGrid>
                <w:gridCol w:w="1134"/>
                <w:gridCol w:w="3969"/>
                <w:gridCol w:w="4820"/>
              </w:tblGrid>
            </w:tblGridChange>
          </w:tblGrid>
          <w:tr>
            <w:trPr>
              <w:cantSplit w:val="0"/>
              <w:trHeight w:val="1129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51">
                <w:pPr>
                  <w:ind w:left="72" w:firstLine="0"/>
                  <w:jc w:val="center"/>
                  <w:rPr>
                    <w:rFonts w:ascii="Verdana" w:cs="Verdana" w:eastAsia="Verdana" w:hAnsi="Verdana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-15239</wp:posOffset>
                      </wp:positionH>
                      <wp:positionV relativeFrom="paragraph">
                        <wp:posOffset>-24129</wp:posOffset>
                      </wp:positionV>
                      <wp:extent cx="673735" cy="7092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3735" cy="709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52">
                <w:pPr>
                  <w:ind w:left="72" w:firstLine="0"/>
                  <w:rPr>
                    <w:rFonts w:ascii="Verdana" w:cs="Verdana" w:eastAsia="Verdana" w:hAnsi="Verdana"/>
                    <w:b w:val="0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b w:val="1"/>
                    <w:sz w:val="18"/>
                    <w:szCs w:val="18"/>
                    <w:vertAlign w:val="baseline"/>
                    <w:rtl w:val="0"/>
                  </w:rPr>
                  <w:t xml:space="preserve">Governo do Estado do Espírito Santo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3">
                <w:pPr>
                  <w:ind w:left="72" w:firstLine="0"/>
                  <w:rPr>
                    <w:rFonts w:ascii="Verdana" w:cs="Verdana" w:eastAsia="Verdana" w:hAnsi="Verdana"/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b w:val="1"/>
                    <w:sz w:val="16"/>
                    <w:szCs w:val="16"/>
                    <w:vertAlign w:val="baseline"/>
                    <w:rtl w:val="0"/>
                  </w:rPr>
                  <w:t xml:space="preserve">Secretaria de Estado da Cultura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2" w:right="0" w:firstLine="0"/>
                  <w:jc w:val="left"/>
                  <w:rPr>
                    <w:rFonts w:ascii="Verdana" w:cs="Verdana" w:eastAsia="Verdana" w:hAnsi="Verdana"/>
                    <w:b w:val="0"/>
                    <w:i w:val="0"/>
                    <w:smallCaps w:val="0"/>
                    <w:strike w:val="0"/>
                    <w:color w:val="000000"/>
                    <w:sz w:val="14"/>
                    <w:szCs w:val="14"/>
                    <w:highlight w:val="white"/>
                    <w:u w:val="none"/>
                    <w:vertAlign w:val="baseline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b w:val="1"/>
                    <w:i w:val="0"/>
                    <w:smallCaps w:val="0"/>
                    <w:strike w:val="0"/>
                    <w:color w:val="000000"/>
                    <w:sz w:val="14"/>
                    <w:szCs w:val="14"/>
                    <w:highlight w:val="white"/>
                    <w:u w:val="none"/>
                    <w:vertAlign w:val="baseline"/>
                    <w:rtl w:val="0"/>
                  </w:rPr>
                  <w:t xml:space="preserve">Subsecretaria de Estado de Políticas Culturais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5">
                <w:pPr>
                  <w:ind w:left="72" w:firstLine="0"/>
                  <w:rPr>
                    <w:rFonts w:ascii="Verdana" w:cs="Verdana" w:eastAsia="Verdana" w:hAnsi="Verdana"/>
                    <w:sz w:val="14"/>
                    <w:szCs w:val="14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center"/>
              </w:tcPr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9923"/>
                  </w:tabs>
                  <w:spacing w:after="0" w:before="0" w:line="240" w:lineRule="auto"/>
                  <w:ind w:left="0" w:right="0" w:firstLine="318"/>
                  <w:jc w:val="left"/>
                  <w:rPr>
                    <w:rFonts w:ascii="Verdana" w:cs="Verdana" w:eastAsia="Verdana" w:hAnsi="Verdana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Verdana" w:cs="Verdana" w:eastAsia="Verdana" w:hAnsi="Verdana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PARECER TÉCNICO CULTURAL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141" w:firstLine="0"/>
                  <w:jc w:val="center"/>
                  <w:rPr>
                    <w:rFonts w:ascii="Verdana" w:cs="Verdana" w:eastAsia="Verdana" w:hAnsi="Verdana"/>
                    <w:b w:val="0"/>
                    <w:i w:val="0"/>
                    <w:smallCaps w:val="0"/>
                    <w:strike w:val="0"/>
                    <w:color w:val="000000"/>
                    <w:sz w:val="2"/>
                    <w:szCs w:val="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8">
          <w:pPr>
            <w:ind w:left="-70" w:firstLine="0"/>
            <w:jc w:val="center"/>
            <w:rPr>
              <w:rFonts w:ascii="Verdana" w:cs="Verdana" w:eastAsia="Verdana" w:hAnsi="Verdana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141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2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141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3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141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1">
    <w:pPr>
      <w:rPr>
        <w:rFonts w:ascii="Verdana" w:cs="Verdana" w:eastAsia="Verdana" w:hAnsi="Verdana"/>
        <w:b w:val="0"/>
        <w:sz w:val="4"/>
        <w:szCs w:val="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center"/>
      <w:rPr>
        <w:sz w:val="12"/>
        <w:szCs w:val="1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Estilo1">
    <w:name w:val="Estilo1"/>
    <w:basedOn w:val="Semlista"/>
    <w:next w:val="Estilo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Estilo2">
    <w:name w:val="Estilo2"/>
    <w:basedOn w:val="Semlista"/>
    <w:next w:val="Estilo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ermelho">
    <w:name w:val="vermelho"/>
    <w:basedOn w:val="Fonteparág.padrão"/>
    <w:next w:val="vermelh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mmarcadores">
    <w:name w:val="Com marcadores"/>
    <w:basedOn w:val="Normal"/>
    <w:next w:val="Commarcadores"/>
    <w:autoRedefine w:val="0"/>
    <w:hidden w:val="0"/>
    <w:qFormat w:val="0"/>
    <w:pPr>
      <w:numPr>
        <w:ilvl w:val="0"/>
        <w:numId w:val="12"/>
      </w:numPr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style01">
    <w:name w:val="fontstyle01"/>
    <w:next w:val="fontstyle01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Open Sans" w:cs="Open Sans" w:hAnsi="Open San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fimChar">
    <w:name w:val="Texto de nota de fim Char"/>
    <w:basedOn w:val="Fonteparág.padrão"/>
    <w:next w:val="Textodenotadefim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ixXQ2QwykafzKPrJDO1/hgQ4w==">AMUW2mXrBJEjkzV6+0fo8RijvK0cnOvW1V1WrVcp81ERStppqY8rFG7w9uwUjK+0+NMFmL0gMfKmzdBgD4l0E1vg7PWQyXyQgmZTqsIsuURHa3Cg0Ga31UA=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2022-07-12T18:12:00Z</dcterms:created>
  <dc:creator>Secretaria de Estado da Cultura</dc:creator>
</cp:coreProperties>
</file>